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72495" w14:textId="21417988" w:rsidR="003518CA" w:rsidRDefault="00220B49" w:rsidP="00220B49">
      <w:pPr>
        <w:pStyle w:val="Pagedecouverture"/>
        <w:rPr>
          <w:noProof/>
        </w:rPr>
      </w:pPr>
      <w:bookmarkStart w:id="0" w:name="LW_BM_COVERPAGE"/>
      <w:r>
        <w:rPr>
          <w:noProof/>
        </w:rPr>
        <w:pict w14:anchorId="78368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A65FF43-9C1B-4AE0-9A37-57FC22B4B7AB" style="width:455.25pt;height:310.5pt">
            <v:imagedata r:id="rId8" o:title=""/>
          </v:shape>
        </w:pict>
      </w:r>
    </w:p>
    <w:bookmarkEnd w:id="0"/>
    <w:p w14:paraId="2959671D" w14:textId="77777777" w:rsidR="003518CA" w:rsidRDefault="003518CA" w:rsidP="003518CA">
      <w:pPr>
        <w:rPr>
          <w:noProof/>
        </w:rPr>
        <w:sectPr w:rsidR="003518CA" w:rsidSect="00220B49">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14:paraId="242DF00D" w14:textId="76D6620F" w:rsidR="00A66C72" w:rsidRDefault="00A66C72" w:rsidP="00A66C72">
      <w:pPr>
        <w:jc w:val="center"/>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SPRÁVA KOMISIE EURÓPSKEMU PARLAMENTU</w:t>
      </w:r>
      <w:r w:rsidR="008C064E">
        <w:rPr>
          <w:rFonts w:ascii="Times New Roman" w:hAnsi="Times New Roman"/>
          <w:b/>
          <w:noProof/>
          <w:sz w:val="24"/>
        </w:rPr>
        <w:t xml:space="preserve"> A </w:t>
      </w:r>
      <w:r>
        <w:rPr>
          <w:rFonts w:ascii="Times New Roman" w:hAnsi="Times New Roman"/>
          <w:b/>
          <w:noProof/>
          <w:sz w:val="24"/>
        </w:rPr>
        <w:t>RADE</w:t>
      </w:r>
    </w:p>
    <w:p w14:paraId="498356BB" w14:textId="2F28C3F0" w:rsidR="00314611" w:rsidRPr="00271E84" w:rsidRDefault="00A66C72" w:rsidP="00271E84">
      <w:pPr>
        <w:jc w:val="center"/>
        <w:rPr>
          <w:rFonts w:ascii="Times New Roman" w:hAnsi="Times New Roman" w:cs="Times New Roman"/>
          <w:b/>
          <w:noProof/>
          <w:sz w:val="24"/>
          <w:szCs w:val="24"/>
        </w:rPr>
      </w:pPr>
      <w:r>
        <w:rPr>
          <w:rFonts w:ascii="Times New Roman" w:hAnsi="Times New Roman"/>
          <w:b/>
          <w:noProof/>
          <w:sz w:val="24"/>
        </w:rPr>
        <w:t>o prvom preskúmaní fungovania rozhodnutia</w:t>
      </w:r>
      <w:r w:rsidR="008C064E">
        <w:rPr>
          <w:rFonts w:ascii="Times New Roman" w:hAnsi="Times New Roman"/>
          <w:b/>
          <w:noProof/>
          <w:sz w:val="24"/>
        </w:rPr>
        <w:t xml:space="preserve"> o </w:t>
      </w:r>
      <w:r>
        <w:rPr>
          <w:rFonts w:ascii="Times New Roman" w:hAnsi="Times New Roman"/>
          <w:b/>
          <w:noProof/>
          <w:sz w:val="24"/>
        </w:rPr>
        <w:t>primeranosti pre Japonsko</w:t>
      </w:r>
    </w:p>
    <w:p w14:paraId="7C6C7B40" w14:textId="64551D3F" w:rsidR="00A66C72" w:rsidRDefault="00B37707" w:rsidP="00A66C72">
      <w:pPr>
        <w:pStyle w:val="ListParagraph"/>
        <w:numPr>
          <w:ilvl w:val="0"/>
          <w:numId w:val="1"/>
        </w:numPr>
        <w:rPr>
          <w:rFonts w:ascii="Times New Roman" w:hAnsi="Times New Roman" w:cs="Times New Roman"/>
          <w:b/>
          <w:bCs/>
          <w:noProof/>
        </w:rPr>
      </w:pPr>
      <w:r>
        <w:rPr>
          <w:rFonts w:ascii="Times New Roman" w:hAnsi="Times New Roman"/>
          <w:b/>
          <w:noProof/>
          <w:sz w:val="24"/>
        </w:rPr>
        <w:t>PRVÉ PRESKÚMANIE – SÚVISLOSTI, PRÍPRAVA</w:t>
      </w:r>
      <w:r w:rsidR="008C064E">
        <w:rPr>
          <w:rFonts w:ascii="Times New Roman" w:hAnsi="Times New Roman"/>
          <w:b/>
          <w:noProof/>
          <w:sz w:val="24"/>
        </w:rPr>
        <w:t xml:space="preserve"> A </w:t>
      </w:r>
      <w:r>
        <w:rPr>
          <w:rFonts w:ascii="Times New Roman" w:hAnsi="Times New Roman"/>
          <w:b/>
          <w:noProof/>
          <w:sz w:val="24"/>
        </w:rPr>
        <w:t>POSTUP</w:t>
      </w:r>
    </w:p>
    <w:p w14:paraId="433ACF0C" w14:textId="08B2A884" w:rsidR="00E20292" w:rsidRDefault="00E20292" w:rsidP="00A02251">
      <w:pPr>
        <w:jc w:val="both"/>
        <w:rPr>
          <w:rFonts w:ascii="Times New Roman" w:hAnsi="Times New Roman" w:cs="Times New Roman"/>
          <w:noProof/>
          <w:sz w:val="24"/>
          <w:szCs w:val="24"/>
        </w:rPr>
      </w:pPr>
      <w:r>
        <w:rPr>
          <w:rFonts w:ascii="Times New Roman" w:hAnsi="Times New Roman"/>
          <w:noProof/>
          <w:sz w:val="24"/>
        </w:rPr>
        <w:t>Európska komisia prijala 23. januára 2019 rozhodnutie na základe článku 45 nariadenia (EÚ) 2016/679 (všeobecné nariadenie</w:t>
      </w:r>
      <w:r w:rsidR="008C064E">
        <w:rPr>
          <w:rFonts w:ascii="Times New Roman" w:hAnsi="Times New Roman"/>
          <w:noProof/>
          <w:sz w:val="24"/>
        </w:rPr>
        <w:t xml:space="preserve"> o </w:t>
      </w:r>
      <w:r>
        <w:rPr>
          <w:rFonts w:ascii="Times New Roman" w:hAnsi="Times New Roman"/>
          <w:noProof/>
          <w:sz w:val="24"/>
        </w:rPr>
        <w:t>ochrane údajov)</w:t>
      </w:r>
      <w:r>
        <w:rPr>
          <w:rStyle w:val="FootnoteReference"/>
          <w:rFonts w:ascii="Times New Roman" w:hAnsi="Times New Roman" w:cs="Times New Roman"/>
          <w:noProof/>
          <w:sz w:val="24"/>
          <w:szCs w:val="24"/>
          <w:lang w:val="en-IE"/>
        </w:rPr>
        <w:footnoteReference w:id="1"/>
      </w:r>
      <w:r>
        <w:rPr>
          <w:rFonts w:ascii="Times New Roman" w:hAnsi="Times New Roman"/>
          <w:noProof/>
          <w:sz w:val="24"/>
        </w:rPr>
        <w:t>,</w:t>
      </w:r>
      <w:r w:rsidR="008C064E">
        <w:rPr>
          <w:rFonts w:ascii="Times New Roman" w:hAnsi="Times New Roman"/>
          <w:noProof/>
          <w:sz w:val="24"/>
        </w:rPr>
        <w:t xml:space="preserve"> v </w:t>
      </w:r>
      <w:r>
        <w:rPr>
          <w:rFonts w:ascii="Times New Roman" w:hAnsi="Times New Roman"/>
          <w:noProof/>
          <w:sz w:val="24"/>
        </w:rPr>
        <w:t>ktorom dospela</w:t>
      </w:r>
      <w:r w:rsidR="008C064E">
        <w:rPr>
          <w:rFonts w:ascii="Times New Roman" w:hAnsi="Times New Roman"/>
          <w:noProof/>
          <w:sz w:val="24"/>
        </w:rPr>
        <w:t xml:space="preserve"> k </w:t>
      </w:r>
      <w:r>
        <w:rPr>
          <w:rFonts w:ascii="Times New Roman" w:hAnsi="Times New Roman"/>
          <w:noProof/>
          <w:sz w:val="24"/>
        </w:rPr>
        <w:t>záveru, že Japonsko zabezpečuje primeranú úroveň ochrany osobných údajov prenášaných</w:t>
      </w:r>
      <w:r w:rsidR="008C064E">
        <w:rPr>
          <w:rFonts w:ascii="Times New Roman" w:hAnsi="Times New Roman"/>
          <w:noProof/>
          <w:sz w:val="24"/>
        </w:rPr>
        <w:t xml:space="preserve"> z </w:t>
      </w:r>
      <w:r>
        <w:rPr>
          <w:rFonts w:ascii="Times New Roman" w:hAnsi="Times New Roman"/>
          <w:noProof/>
          <w:sz w:val="24"/>
        </w:rPr>
        <w:t>Európskej únie hospodárskym subjektom nakladajúcim</w:t>
      </w:r>
      <w:r w:rsidR="008C064E">
        <w:rPr>
          <w:rFonts w:ascii="Times New Roman" w:hAnsi="Times New Roman"/>
          <w:noProof/>
          <w:sz w:val="24"/>
        </w:rPr>
        <w:t xml:space="preserve"> s </w:t>
      </w:r>
      <w:r>
        <w:rPr>
          <w:rFonts w:ascii="Times New Roman" w:hAnsi="Times New Roman"/>
          <w:noProof/>
          <w:sz w:val="24"/>
        </w:rPr>
        <w:t>osobnými informáciami</w:t>
      </w:r>
      <w:r>
        <w:rPr>
          <w:rStyle w:val="FootnoteReference"/>
          <w:rFonts w:ascii="Times New Roman" w:hAnsi="Times New Roman" w:cs="Times New Roman"/>
          <w:noProof/>
          <w:sz w:val="24"/>
          <w:szCs w:val="24"/>
          <w:lang w:val="en-IE"/>
        </w:rPr>
        <w:footnoteReference w:id="2"/>
      </w:r>
      <w:r w:rsidR="008C064E">
        <w:rPr>
          <w:rFonts w:ascii="Times New Roman" w:hAnsi="Times New Roman"/>
          <w:noProof/>
          <w:sz w:val="24"/>
        </w:rPr>
        <w:t xml:space="preserve"> v </w:t>
      </w:r>
      <w:r>
        <w:rPr>
          <w:rFonts w:ascii="Times New Roman" w:hAnsi="Times New Roman"/>
          <w:noProof/>
          <w:sz w:val="24"/>
        </w:rPr>
        <w:t>Japonsku</w:t>
      </w:r>
      <w:r>
        <w:rPr>
          <w:rStyle w:val="FootnoteReference"/>
          <w:rFonts w:ascii="Times New Roman" w:hAnsi="Times New Roman" w:cs="Times New Roman"/>
          <w:noProof/>
          <w:sz w:val="24"/>
          <w:szCs w:val="24"/>
        </w:rPr>
        <w:footnoteReference w:id="3"/>
      </w:r>
      <w:r>
        <w:rPr>
          <w:rFonts w:ascii="Times New Roman" w:hAnsi="Times New Roman"/>
          <w:noProof/>
          <w:sz w:val="24"/>
        </w:rPr>
        <w:t>. Prenosy údajov</w:t>
      </w:r>
      <w:r w:rsidR="008C064E">
        <w:rPr>
          <w:rFonts w:ascii="Times New Roman" w:hAnsi="Times New Roman"/>
          <w:noProof/>
          <w:sz w:val="24"/>
        </w:rPr>
        <w:t xml:space="preserve"> z </w:t>
      </w:r>
      <w:r>
        <w:rPr>
          <w:rFonts w:ascii="Times New Roman" w:hAnsi="Times New Roman"/>
          <w:noProof/>
          <w:sz w:val="24"/>
        </w:rPr>
        <w:t>EÚ súkromným hospodárskym subjektom</w:t>
      </w:r>
      <w:r w:rsidR="008C064E">
        <w:rPr>
          <w:rFonts w:ascii="Times New Roman" w:hAnsi="Times New Roman"/>
          <w:noProof/>
          <w:sz w:val="24"/>
        </w:rPr>
        <w:t xml:space="preserve"> v </w:t>
      </w:r>
      <w:r>
        <w:rPr>
          <w:rFonts w:ascii="Times New Roman" w:hAnsi="Times New Roman"/>
          <w:noProof/>
          <w:sz w:val="24"/>
        </w:rPr>
        <w:t>Japonsku sa preto môžu uskutočňovať bez ukladania doplňujúcich požiadaviek</w:t>
      </w:r>
      <w:r>
        <w:rPr>
          <w:rStyle w:val="FootnoteReference"/>
          <w:rFonts w:ascii="Times New Roman" w:hAnsi="Times New Roman" w:cs="Times New Roman"/>
          <w:noProof/>
          <w:sz w:val="24"/>
          <w:szCs w:val="24"/>
          <w:lang w:val="en-IE"/>
        </w:rPr>
        <w:footnoteReference w:id="4"/>
      </w:r>
      <w:r>
        <w:rPr>
          <w:rFonts w:ascii="Times New Roman" w:hAnsi="Times New Roman"/>
          <w:noProof/>
          <w:sz w:val="24"/>
        </w:rPr>
        <w:t xml:space="preserve">. </w:t>
      </w:r>
    </w:p>
    <w:p w14:paraId="144460B6" w14:textId="1CD7A4B9" w:rsidR="009F222A" w:rsidRDefault="009F222A" w:rsidP="009F222A">
      <w:pPr>
        <w:jc w:val="both"/>
        <w:rPr>
          <w:rFonts w:ascii="Times New Roman" w:hAnsi="Times New Roman" w:cs="Times New Roman"/>
          <w:noProof/>
          <w:sz w:val="24"/>
          <w:szCs w:val="24"/>
        </w:rPr>
      </w:pPr>
      <w:r>
        <w:rPr>
          <w:rFonts w:ascii="Times New Roman" w:hAnsi="Times New Roman"/>
          <w:noProof/>
          <w:sz w:val="24"/>
        </w:rPr>
        <w:t>Rozhodnutie Komisie</w:t>
      </w:r>
      <w:r w:rsidR="008C064E">
        <w:rPr>
          <w:rFonts w:ascii="Times New Roman" w:hAnsi="Times New Roman"/>
          <w:noProof/>
          <w:sz w:val="24"/>
        </w:rPr>
        <w:t xml:space="preserve"> o </w:t>
      </w:r>
      <w:r>
        <w:rPr>
          <w:rFonts w:ascii="Times New Roman" w:hAnsi="Times New Roman"/>
          <w:noProof/>
          <w:sz w:val="24"/>
        </w:rPr>
        <w:t>primeranosti sa vzťahuje na japonský zákon</w:t>
      </w:r>
      <w:r w:rsidR="008C064E">
        <w:rPr>
          <w:rFonts w:ascii="Times New Roman" w:hAnsi="Times New Roman"/>
          <w:noProof/>
          <w:sz w:val="24"/>
        </w:rPr>
        <w:t xml:space="preserve"> o </w:t>
      </w:r>
      <w:r>
        <w:rPr>
          <w:rFonts w:ascii="Times New Roman" w:hAnsi="Times New Roman"/>
          <w:noProof/>
          <w:sz w:val="24"/>
        </w:rPr>
        <w:t>ochrane osobných informácií (APPI) doplnený doplňujúcimi pravidlami,</w:t>
      </w:r>
      <w:r>
        <w:rPr>
          <w:noProof/>
        </w:rPr>
        <w:t xml:space="preserve"> </w:t>
      </w:r>
      <w:r>
        <w:rPr>
          <w:rFonts w:ascii="Times New Roman" w:hAnsi="Times New Roman"/>
          <w:noProof/>
          <w:sz w:val="24"/>
        </w:rPr>
        <w:t>ktoré boli zavedené na preklenutie určitých relevantných rozdielov medzi zákonom APPI</w:t>
      </w:r>
      <w:r w:rsidR="008C064E">
        <w:rPr>
          <w:rFonts w:ascii="Times New Roman" w:hAnsi="Times New Roman"/>
          <w:noProof/>
          <w:sz w:val="24"/>
        </w:rPr>
        <w:t xml:space="preserve"> a </w:t>
      </w:r>
      <w:r>
        <w:rPr>
          <w:rFonts w:ascii="Times New Roman" w:hAnsi="Times New Roman"/>
          <w:noProof/>
          <w:sz w:val="24"/>
        </w:rPr>
        <w:t>všeobecným nariadením</w:t>
      </w:r>
      <w:r w:rsidR="008C064E">
        <w:rPr>
          <w:rFonts w:ascii="Times New Roman" w:hAnsi="Times New Roman"/>
          <w:noProof/>
          <w:sz w:val="24"/>
        </w:rPr>
        <w:t xml:space="preserve"> o </w:t>
      </w:r>
      <w:r>
        <w:rPr>
          <w:rFonts w:ascii="Times New Roman" w:hAnsi="Times New Roman"/>
          <w:noProof/>
          <w:sz w:val="24"/>
        </w:rPr>
        <w:t>ochrane údajov</w:t>
      </w:r>
      <w:r>
        <w:rPr>
          <w:rStyle w:val="FootnoteReference"/>
          <w:rFonts w:ascii="Times New Roman" w:hAnsi="Times New Roman" w:cs="Times New Roman"/>
          <w:noProof/>
          <w:sz w:val="24"/>
          <w:szCs w:val="24"/>
          <w:lang w:val="en-IE"/>
        </w:rPr>
        <w:footnoteReference w:id="5"/>
      </w:r>
      <w:r>
        <w:rPr>
          <w:rFonts w:ascii="Times New Roman" w:hAnsi="Times New Roman"/>
          <w:noProof/>
          <w:sz w:val="24"/>
        </w:rPr>
        <w:t>. Tieto dodatočné záruky posilňujú napríklad ochranu citlivých údajov (rozšírením kategórií osobných informácií považovaných za citlivé údaje), uplatňovanie individuálnych práv (objasnením, že individuálne práva možno uplatňovať aj</w:t>
      </w:r>
      <w:r w:rsidR="008C064E">
        <w:rPr>
          <w:rFonts w:ascii="Times New Roman" w:hAnsi="Times New Roman"/>
          <w:noProof/>
          <w:sz w:val="24"/>
        </w:rPr>
        <w:t xml:space="preserve"> v </w:t>
      </w:r>
      <w:r>
        <w:rPr>
          <w:rFonts w:ascii="Times New Roman" w:hAnsi="Times New Roman"/>
          <w:noProof/>
          <w:sz w:val="24"/>
        </w:rPr>
        <w:t>prípade osobných údajov uchovávaných počas obdobia kratšieho ako šesť mesiacov, čo</w:t>
      </w:r>
      <w:r w:rsidR="008C064E">
        <w:rPr>
          <w:rFonts w:ascii="Times New Roman" w:hAnsi="Times New Roman"/>
          <w:noProof/>
          <w:sz w:val="24"/>
        </w:rPr>
        <w:t xml:space="preserve"> v </w:t>
      </w:r>
      <w:r>
        <w:rPr>
          <w:rFonts w:ascii="Times New Roman" w:hAnsi="Times New Roman"/>
          <w:noProof/>
          <w:sz w:val="24"/>
        </w:rPr>
        <w:t>tom čase na základe zákona APPI neplatilo)</w:t>
      </w:r>
      <w:r>
        <w:rPr>
          <w:rStyle w:val="FootnoteReference"/>
          <w:rFonts w:ascii="Times New Roman" w:hAnsi="Times New Roman" w:cs="Times New Roman"/>
          <w:noProof/>
          <w:sz w:val="24"/>
          <w:szCs w:val="24"/>
          <w:lang w:val="en-IE"/>
        </w:rPr>
        <w:footnoteReference w:id="6"/>
      </w:r>
      <w:r w:rsidR="008C064E">
        <w:rPr>
          <w:rFonts w:ascii="Times New Roman" w:hAnsi="Times New Roman"/>
          <w:noProof/>
          <w:sz w:val="24"/>
        </w:rPr>
        <w:t xml:space="preserve"> a </w:t>
      </w:r>
      <w:r>
        <w:rPr>
          <w:rFonts w:ascii="Times New Roman" w:hAnsi="Times New Roman"/>
          <w:noProof/>
          <w:sz w:val="24"/>
        </w:rPr>
        <w:t>podmienky, na základe ktorých možno údaje</w:t>
      </w:r>
      <w:r w:rsidR="008C064E">
        <w:rPr>
          <w:rFonts w:ascii="Times New Roman" w:hAnsi="Times New Roman"/>
          <w:noProof/>
          <w:sz w:val="24"/>
        </w:rPr>
        <w:t xml:space="preserve"> z </w:t>
      </w:r>
      <w:r>
        <w:rPr>
          <w:rFonts w:ascii="Times New Roman" w:hAnsi="Times New Roman"/>
          <w:noProof/>
          <w:sz w:val="24"/>
        </w:rPr>
        <w:t>EÚ prenášať ďalej („následne“)</w:t>
      </w:r>
      <w:r w:rsidR="008C064E">
        <w:rPr>
          <w:rFonts w:ascii="Times New Roman" w:hAnsi="Times New Roman"/>
          <w:noProof/>
          <w:sz w:val="24"/>
        </w:rPr>
        <w:t xml:space="preserve"> z </w:t>
      </w:r>
      <w:r>
        <w:rPr>
          <w:rFonts w:ascii="Times New Roman" w:hAnsi="Times New Roman"/>
          <w:noProof/>
          <w:sz w:val="24"/>
        </w:rPr>
        <w:t>Japonska do inej tretej krajiny</w:t>
      </w:r>
      <w:r>
        <w:rPr>
          <w:rStyle w:val="FootnoteReference"/>
          <w:rFonts w:ascii="Times New Roman" w:hAnsi="Times New Roman" w:cs="Times New Roman"/>
          <w:noProof/>
          <w:sz w:val="24"/>
          <w:szCs w:val="24"/>
          <w:lang w:val="en-IE"/>
        </w:rPr>
        <w:footnoteReference w:id="7"/>
      </w:r>
      <w:r>
        <w:rPr>
          <w:rFonts w:ascii="Times New Roman" w:hAnsi="Times New Roman"/>
          <w:noProof/>
          <w:sz w:val="24"/>
        </w:rPr>
        <w:t>. Doplňujúce pravidlá sú pre japonské hospodárske subjekty záväzné</w:t>
      </w:r>
      <w:r w:rsidR="008C064E">
        <w:rPr>
          <w:rFonts w:ascii="Times New Roman" w:hAnsi="Times New Roman"/>
          <w:noProof/>
          <w:sz w:val="24"/>
        </w:rPr>
        <w:t xml:space="preserve"> a </w:t>
      </w:r>
      <w:r>
        <w:rPr>
          <w:rFonts w:ascii="Times New Roman" w:hAnsi="Times New Roman"/>
          <w:noProof/>
          <w:sz w:val="24"/>
        </w:rPr>
        <w:t>na japonských súdoch ich môže presadzovať nezávislý orgán pre ochranu osobných údajov – Komisia pre ochranu osobných informácií – alebo priamo fyzické osoby</w:t>
      </w:r>
      <w:r w:rsidR="008C064E">
        <w:rPr>
          <w:rFonts w:ascii="Times New Roman" w:hAnsi="Times New Roman"/>
          <w:noProof/>
          <w:sz w:val="24"/>
        </w:rPr>
        <w:t xml:space="preserve"> z </w:t>
      </w:r>
      <w:r>
        <w:rPr>
          <w:rFonts w:ascii="Times New Roman" w:hAnsi="Times New Roman"/>
          <w:noProof/>
          <w:sz w:val="24"/>
        </w:rPr>
        <w:t>EÚ</w:t>
      </w:r>
      <w:r>
        <w:rPr>
          <w:rStyle w:val="FootnoteReference"/>
          <w:rFonts w:ascii="Times New Roman" w:hAnsi="Times New Roman" w:cs="Times New Roman"/>
          <w:noProof/>
          <w:sz w:val="24"/>
          <w:szCs w:val="24"/>
          <w:lang w:val="en-IE"/>
        </w:rPr>
        <w:footnoteReference w:id="8"/>
      </w:r>
      <w:r>
        <w:rPr>
          <w:rFonts w:ascii="Times New Roman" w:hAnsi="Times New Roman"/>
          <w:noProof/>
          <w:sz w:val="24"/>
        </w:rPr>
        <w:t>.</w:t>
      </w:r>
    </w:p>
    <w:p w14:paraId="4468D202" w14:textId="58913A9E" w:rsidR="007F07B8" w:rsidRDefault="009F222A" w:rsidP="00EF1A47">
      <w:pPr>
        <w:jc w:val="both"/>
        <w:rPr>
          <w:rFonts w:ascii="Times New Roman" w:hAnsi="Times New Roman" w:cs="Times New Roman"/>
          <w:noProof/>
          <w:sz w:val="24"/>
          <w:szCs w:val="24"/>
        </w:rPr>
      </w:pPr>
      <w:r>
        <w:rPr>
          <w:rFonts w:ascii="Times New Roman" w:hAnsi="Times New Roman"/>
          <w:noProof/>
          <w:sz w:val="24"/>
        </w:rPr>
        <w:t xml:space="preserve">Japonská vláda okrem toho poskytla </w:t>
      </w:r>
      <w:bookmarkStart w:id="2" w:name="_Hlk102032648"/>
      <w:r>
        <w:rPr>
          <w:rFonts w:ascii="Times New Roman" w:hAnsi="Times New Roman"/>
          <w:noProof/>
          <w:sz w:val="24"/>
        </w:rPr>
        <w:t>Komisii oficiálne vyhlásenia, uistenia</w:t>
      </w:r>
      <w:r w:rsidR="008C064E">
        <w:rPr>
          <w:rFonts w:ascii="Times New Roman" w:hAnsi="Times New Roman"/>
          <w:noProof/>
          <w:sz w:val="24"/>
        </w:rPr>
        <w:t xml:space="preserve"> a </w:t>
      </w:r>
      <w:r>
        <w:rPr>
          <w:rFonts w:ascii="Times New Roman" w:hAnsi="Times New Roman"/>
          <w:noProof/>
          <w:sz w:val="24"/>
        </w:rPr>
        <w:t>záväzky</w:t>
      </w:r>
      <w:bookmarkEnd w:id="2"/>
      <w:r w:rsidR="008C064E">
        <w:rPr>
          <w:rFonts w:ascii="Times New Roman" w:hAnsi="Times New Roman"/>
          <w:noProof/>
          <w:sz w:val="24"/>
        </w:rPr>
        <w:t xml:space="preserve"> v </w:t>
      </w:r>
      <w:r>
        <w:rPr>
          <w:rFonts w:ascii="Times New Roman" w:hAnsi="Times New Roman"/>
          <w:noProof/>
          <w:sz w:val="24"/>
        </w:rPr>
        <w:t>súvislosti</w:t>
      </w:r>
      <w:r w:rsidR="008C064E">
        <w:rPr>
          <w:rFonts w:ascii="Times New Roman" w:hAnsi="Times New Roman"/>
          <w:noProof/>
          <w:sz w:val="24"/>
        </w:rPr>
        <w:t xml:space="preserve"> s </w:t>
      </w:r>
      <w:r>
        <w:rPr>
          <w:rFonts w:ascii="Times New Roman" w:hAnsi="Times New Roman"/>
          <w:noProof/>
          <w:sz w:val="24"/>
        </w:rPr>
        <w:t>obmedzeniami</w:t>
      </w:r>
      <w:r w:rsidR="008C064E">
        <w:rPr>
          <w:rFonts w:ascii="Times New Roman" w:hAnsi="Times New Roman"/>
          <w:noProof/>
          <w:sz w:val="24"/>
        </w:rPr>
        <w:t xml:space="preserve"> a </w:t>
      </w:r>
      <w:r>
        <w:rPr>
          <w:rFonts w:ascii="Times New Roman" w:hAnsi="Times New Roman"/>
          <w:noProof/>
          <w:sz w:val="24"/>
        </w:rPr>
        <w:t>zárukami týkajúcimi sa prístupu</w:t>
      </w:r>
      <w:r w:rsidR="008C064E">
        <w:rPr>
          <w:rFonts w:ascii="Times New Roman" w:hAnsi="Times New Roman"/>
          <w:noProof/>
          <w:sz w:val="24"/>
        </w:rPr>
        <w:t xml:space="preserve"> k </w:t>
      </w:r>
      <w:r>
        <w:rPr>
          <w:rFonts w:ascii="Times New Roman" w:hAnsi="Times New Roman"/>
          <w:noProof/>
          <w:sz w:val="24"/>
        </w:rPr>
        <w:t>osobným údajom</w:t>
      </w:r>
      <w:r w:rsidR="008C064E">
        <w:rPr>
          <w:rFonts w:ascii="Times New Roman" w:hAnsi="Times New Roman"/>
          <w:noProof/>
          <w:sz w:val="24"/>
        </w:rPr>
        <w:t xml:space="preserve"> a </w:t>
      </w:r>
      <w:r>
        <w:rPr>
          <w:rFonts w:ascii="Times New Roman" w:hAnsi="Times New Roman"/>
          <w:noProof/>
          <w:sz w:val="24"/>
        </w:rPr>
        <w:t>ich využívania zo strany japonských orgánov verejnej moci na účely presadzovania práva</w:t>
      </w:r>
      <w:r w:rsidR="008C064E">
        <w:rPr>
          <w:rFonts w:ascii="Times New Roman" w:hAnsi="Times New Roman"/>
          <w:noProof/>
          <w:sz w:val="24"/>
        </w:rPr>
        <w:t xml:space="preserve"> v </w:t>
      </w:r>
      <w:r>
        <w:rPr>
          <w:rFonts w:ascii="Times New Roman" w:hAnsi="Times New Roman"/>
          <w:noProof/>
          <w:sz w:val="24"/>
        </w:rPr>
        <w:t>trestných veciach</w:t>
      </w:r>
      <w:r w:rsidR="008C064E">
        <w:rPr>
          <w:rFonts w:ascii="Times New Roman" w:hAnsi="Times New Roman"/>
          <w:noProof/>
          <w:sz w:val="24"/>
        </w:rPr>
        <w:t xml:space="preserve"> a </w:t>
      </w:r>
      <w:r>
        <w:rPr>
          <w:rFonts w:ascii="Times New Roman" w:hAnsi="Times New Roman"/>
          <w:noProof/>
          <w:sz w:val="24"/>
        </w:rPr>
        <w:t>na účely národnej bezpečnosti, pričom objasnila, že každé takéto spracúvanie sa obmedzuje na to, čo je nevyhnutné</w:t>
      </w:r>
      <w:r w:rsidR="008C064E">
        <w:rPr>
          <w:rFonts w:ascii="Times New Roman" w:hAnsi="Times New Roman"/>
          <w:noProof/>
          <w:sz w:val="24"/>
        </w:rPr>
        <w:t xml:space="preserve"> a </w:t>
      </w:r>
      <w:r>
        <w:rPr>
          <w:rFonts w:ascii="Times New Roman" w:hAnsi="Times New Roman"/>
          <w:noProof/>
          <w:sz w:val="24"/>
        </w:rPr>
        <w:t>primerané</w:t>
      </w:r>
      <w:r w:rsidR="008C064E">
        <w:rPr>
          <w:rFonts w:ascii="Times New Roman" w:hAnsi="Times New Roman"/>
          <w:noProof/>
          <w:sz w:val="24"/>
        </w:rPr>
        <w:t xml:space="preserve"> a </w:t>
      </w:r>
      <w:r>
        <w:rPr>
          <w:rFonts w:ascii="Times New Roman" w:hAnsi="Times New Roman"/>
          <w:noProof/>
          <w:sz w:val="24"/>
        </w:rPr>
        <w:t>čo podlieha nezávislému dozoru</w:t>
      </w:r>
      <w:r w:rsidR="008C064E">
        <w:rPr>
          <w:rFonts w:ascii="Times New Roman" w:hAnsi="Times New Roman"/>
          <w:noProof/>
          <w:sz w:val="24"/>
        </w:rPr>
        <w:t xml:space="preserve"> a </w:t>
      </w:r>
      <w:r>
        <w:rPr>
          <w:rFonts w:ascii="Times New Roman" w:hAnsi="Times New Roman"/>
          <w:noProof/>
          <w:sz w:val="24"/>
        </w:rPr>
        <w:t>účinným mechanizmom nápravy</w:t>
      </w:r>
      <w:r>
        <w:rPr>
          <w:rStyle w:val="FootnoteReference"/>
          <w:rFonts w:ascii="Times New Roman" w:hAnsi="Times New Roman" w:cs="Times New Roman"/>
          <w:noProof/>
          <w:sz w:val="24"/>
          <w:szCs w:val="24"/>
          <w:lang w:val="en-IE"/>
        </w:rPr>
        <w:footnoteReference w:id="9"/>
      </w:r>
      <w:r>
        <w:rPr>
          <w:rFonts w:ascii="Times New Roman" w:hAnsi="Times New Roman"/>
          <w:noProof/>
          <w:sz w:val="24"/>
        </w:rPr>
        <w:t>.</w:t>
      </w:r>
      <w:r>
        <w:rPr>
          <w:noProof/>
        </w:rPr>
        <w:t xml:space="preserve"> </w:t>
      </w:r>
      <w:r>
        <w:rPr>
          <w:rFonts w:ascii="Times New Roman" w:hAnsi="Times New Roman"/>
          <w:noProof/>
          <w:sz w:val="24"/>
        </w:rPr>
        <w:t>Mechanizmy nápravy</w:t>
      </w:r>
      <w:r w:rsidR="008C064E">
        <w:rPr>
          <w:rFonts w:ascii="Times New Roman" w:hAnsi="Times New Roman"/>
          <w:noProof/>
          <w:sz w:val="24"/>
        </w:rPr>
        <w:t xml:space="preserve"> v </w:t>
      </w:r>
      <w:r>
        <w:rPr>
          <w:rFonts w:ascii="Times New Roman" w:hAnsi="Times New Roman"/>
          <w:noProof/>
          <w:sz w:val="24"/>
        </w:rPr>
        <w:t>tejto oblasti zahŕňajú osobitný postup riešenia sporov, ktorý spravuje</w:t>
      </w:r>
      <w:r w:rsidR="008C064E">
        <w:rPr>
          <w:rFonts w:ascii="Times New Roman" w:hAnsi="Times New Roman"/>
          <w:noProof/>
          <w:sz w:val="24"/>
        </w:rPr>
        <w:t xml:space="preserve"> a </w:t>
      </w:r>
      <w:r>
        <w:rPr>
          <w:rFonts w:ascii="Times New Roman" w:hAnsi="Times New Roman"/>
          <w:noProof/>
          <w:sz w:val="24"/>
        </w:rPr>
        <w:t>nad ktorým dohliada Komisia pre ochranu osobných informácií</w:t>
      </w:r>
      <w:r w:rsidR="008C064E">
        <w:rPr>
          <w:rFonts w:ascii="Times New Roman" w:hAnsi="Times New Roman"/>
          <w:noProof/>
          <w:sz w:val="24"/>
        </w:rPr>
        <w:t xml:space="preserve"> a </w:t>
      </w:r>
      <w:r>
        <w:rPr>
          <w:rFonts w:ascii="Times New Roman" w:hAnsi="Times New Roman"/>
          <w:noProof/>
          <w:sz w:val="24"/>
        </w:rPr>
        <w:t>ktorý bol vytvorený pre fyzické osoby</w:t>
      </w:r>
      <w:r w:rsidR="008C064E">
        <w:rPr>
          <w:rFonts w:ascii="Times New Roman" w:hAnsi="Times New Roman"/>
          <w:noProof/>
          <w:sz w:val="24"/>
        </w:rPr>
        <w:t xml:space="preserve"> z </w:t>
      </w:r>
      <w:r>
        <w:rPr>
          <w:rFonts w:ascii="Times New Roman" w:hAnsi="Times New Roman"/>
          <w:noProof/>
          <w:sz w:val="24"/>
        </w:rPr>
        <w:t>EÚ, ktorých osobné údaje sa prenášajú na základe rozhodnutia</w:t>
      </w:r>
      <w:r w:rsidR="008C064E">
        <w:rPr>
          <w:rFonts w:ascii="Times New Roman" w:hAnsi="Times New Roman"/>
          <w:noProof/>
          <w:sz w:val="24"/>
        </w:rPr>
        <w:t xml:space="preserve"> o </w:t>
      </w:r>
      <w:r>
        <w:rPr>
          <w:rFonts w:ascii="Times New Roman" w:hAnsi="Times New Roman"/>
          <w:noProof/>
          <w:sz w:val="24"/>
        </w:rPr>
        <w:t>primeranosti</w:t>
      </w:r>
      <w:r>
        <w:rPr>
          <w:rStyle w:val="FootnoteReference"/>
          <w:rFonts w:ascii="Times New Roman" w:hAnsi="Times New Roman" w:cs="Times New Roman"/>
          <w:noProof/>
          <w:sz w:val="24"/>
          <w:szCs w:val="24"/>
          <w:lang w:val="en-IE"/>
        </w:rPr>
        <w:footnoteReference w:id="10"/>
      </w:r>
      <w:r>
        <w:rPr>
          <w:rFonts w:ascii="Times New Roman" w:hAnsi="Times New Roman"/>
          <w:noProof/>
          <w:sz w:val="24"/>
        </w:rPr>
        <w:t xml:space="preserve">. </w:t>
      </w:r>
    </w:p>
    <w:p w14:paraId="2F95EC9D" w14:textId="6CAD7A47" w:rsidR="00607EB3" w:rsidRDefault="00BC1349" w:rsidP="001B0AE9">
      <w:pPr>
        <w:jc w:val="both"/>
        <w:rPr>
          <w:rFonts w:ascii="Times New Roman" w:hAnsi="Times New Roman" w:cs="Times New Roman"/>
          <w:noProof/>
          <w:sz w:val="24"/>
          <w:szCs w:val="24"/>
        </w:rPr>
      </w:pPr>
      <w:r>
        <w:rPr>
          <w:rFonts w:ascii="Times New Roman" w:hAnsi="Times New Roman"/>
          <w:noProof/>
          <w:sz w:val="24"/>
        </w:rPr>
        <w:t>V čase prijatia rozhodnutia Komisie</w:t>
      </w:r>
      <w:r w:rsidR="008C064E">
        <w:rPr>
          <w:rFonts w:ascii="Times New Roman" w:hAnsi="Times New Roman"/>
          <w:noProof/>
          <w:sz w:val="24"/>
        </w:rPr>
        <w:t xml:space="preserve"> o </w:t>
      </w:r>
      <w:r>
        <w:rPr>
          <w:rFonts w:ascii="Times New Roman" w:hAnsi="Times New Roman"/>
          <w:noProof/>
          <w:sz w:val="24"/>
        </w:rPr>
        <w:t>primeranosti prijalo Japonsko rovnocenné rozhodnutie týkajúce sa prenosov údajov do EÚ, čím vznikla najväčšia svetová zóna voľných tokov údajov založená na vysokej úrovni ochrany</w:t>
      </w:r>
      <w:r>
        <w:rPr>
          <w:rStyle w:val="FootnoteReference"/>
          <w:rFonts w:ascii="Times New Roman" w:hAnsi="Times New Roman" w:cs="Times New Roman"/>
          <w:noProof/>
          <w:sz w:val="24"/>
          <w:szCs w:val="24"/>
          <w:lang w:val="en-IE"/>
        </w:rPr>
        <w:footnoteReference w:id="11"/>
      </w:r>
      <w:r>
        <w:rPr>
          <w:rFonts w:ascii="Times New Roman" w:hAnsi="Times New Roman"/>
          <w:noProof/>
          <w:sz w:val="24"/>
        </w:rPr>
        <w:t>. Tieto rozhodnutia</w:t>
      </w:r>
      <w:r w:rsidR="008C064E">
        <w:rPr>
          <w:rFonts w:ascii="Times New Roman" w:hAnsi="Times New Roman"/>
          <w:noProof/>
          <w:sz w:val="24"/>
        </w:rPr>
        <w:t xml:space="preserve"> o </w:t>
      </w:r>
      <w:r>
        <w:rPr>
          <w:rFonts w:ascii="Times New Roman" w:hAnsi="Times New Roman"/>
          <w:noProof/>
          <w:sz w:val="24"/>
        </w:rPr>
        <w:t>vzájomnej primeranosti dopĺňajú</w:t>
      </w:r>
      <w:r w:rsidR="008C064E">
        <w:rPr>
          <w:rFonts w:ascii="Times New Roman" w:hAnsi="Times New Roman"/>
          <w:noProof/>
          <w:sz w:val="24"/>
        </w:rPr>
        <w:t xml:space="preserve"> a </w:t>
      </w:r>
      <w:r>
        <w:rPr>
          <w:rFonts w:ascii="Times New Roman" w:hAnsi="Times New Roman"/>
          <w:noProof/>
          <w:sz w:val="24"/>
        </w:rPr>
        <w:t>posilňujú prínosy Dohody medzi Európskou úniou</w:t>
      </w:r>
      <w:r w:rsidR="008C064E">
        <w:rPr>
          <w:rFonts w:ascii="Times New Roman" w:hAnsi="Times New Roman"/>
          <w:noProof/>
          <w:sz w:val="24"/>
        </w:rPr>
        <w:t xml:space="preserve"> a </w:t>
      </w:r>
      <w:r>
        <w:rPr>
          <w:rFonts w:ascii="Times New Roman" w:hAnsi="Times New Roman"/>
          <w:noProof/>
          <w:sz w:val="24"/>
        </w:rPr>
        <w:t>Japonskom</w:t>
      </w:r>
      <w:r w:rsidR="008C064E">
        <w:rPr>
          <w:rFonts w:ascii="Times New Roman" w:hAnsi="Times New Roman"/>
          <w:noProof/>
          <w:sz w:val="24"/>
        </w:rPr>
        <w:t xml:space="preserve"> o </w:t>
      </w:r>
      <w:r>
        <w:rPr>
          <w:rFonts w:ascii="Times New Roman" w:hAnsi="Times New Roman"/>
          <w:noProof/>
          <w:sz w:val="24"/>
        </w:rPr>
        <w:t>hospodárskom partnerstve (ďalej len „dohoda EPA“), ktorá nadobudla platnosť vo februári 2019</w:t>
      </w:r>
      <w:r>
        <w:rPr>
          <w:rStyle w:val="FootnoteReference"/>
          <w:rFonts w:ascii="Times New Roman" w:hAnsi="Times New Roman" w:cs="Times New Roman"/>
          <w:noProof/>
          <w:sz w:val="24"/>
          <w:szCs w:val="24"/>
          <w:lang w:val="en-IE"/>
        </w:rPr>
        <w:footnoteReference w:id="12"/>
      </w:r>
      <w:r>
        <w:rPr>
          <w:rFonts w:ascii="Times New Roman" w:hAnsi="Times New Roman"/>
          <w:noProof/>
          <w:sz w:val="24"/>
        </w:rPr>
        <w:t>,</w:t>
      </w:r>
      <w:r w:rsidR="008C064E">
        <w:rPr>
          <w:rFonts w:ascii="Times New Roman" w:hAnsi="Times New Roman"/>
          <w:noProof/>
          <w:sz w:val="24"/>
        </w:rPr>
        <w:t xml:space="preserve"> a </w:t>
      </w:r>
      <w:r>
        <w:rPr>
          <w:rFonts w:ascii="Times New Roman" w:hAnsi="Times New Roman"/>
          <w:noProof/>
          <w:sz w:val="24"/>
        </w:rPr>
        <w:t>dohody</w:t>
      </w:r>
      <w:r w:rsidR="008C064E">
        <w:rPr>
          <w:rFonts w:ascii="Times New Roman" w:hAnsi="Times New Roman"/>
          <w:noProof/>
          <w:sz w:val="24"/>
        </w:rPr>
        <w:t xml:space="preserve"> o </w:t>
      </w:r>
      <w:r>
        <w:rPr>
          <w:rFonts w:ascii="Times New Roman" w:hAnsi="Times New Roman"/>
          <w:noProof/>
          <w:sz w:val="24"/>
        </w:rPr>
        <w:t>strategickom partnerstve</w:t>
      </w:r>
      <w:r>
        <w:rPr>
          <w:rStyle w:val="FootnoteReference"/>
          <w:rFonts w:ascii="Times New Roman" w:hAnsi="Times New Roman" w:cs="Times New Roman"/>
          <w:noProof/>
          <w:sz w:val="24"/>
          <w:szCs w:val="24"/>
          <w:lang w:val="en-IE"/>
        </w:rPr>
        <w:footnoteReference w:id="13"/>
      </w:r>
      <w:r>
        <w:rPr>
          <w:rFonts w:ascii="Times New Roman" w:hAnsi="Times New Roman"/>
          <w:noProof/>
          <w:sz w:val="24"/>
        </w:rPr>
        <w:t>,</w:t>
      </w:r>
      <w:r w:rsidR="008C064E">
        <w:rPr>
          <w:rFonts w:ascii="Times New Roman" w:hAnsi="Times New Roman"/>
          <w:noProof/>
          <w:sz w:val="24"/>
        </w:rPr>
        <w:t xml:space="preserve"> o </w:t>
      </w:r>
      <w:r>
        <w:rPr>
          <w:rFonts w:ascii="Times New Roman" w:hAnsi="Times New Roman"/>
          <w:noProof/>
          <w:sz w:val="24"/>
        </w:rPr>
        <w:t>ktorej sa rokovalo spoločne</w:t>
      </w:r>
      <w:r w:rsidR="008C064E">
        <w:rPr>
          <w:rFonts w:ascii="Times New Roman" w:hAnsi="Times New Roman"/>
          <w:noProof/>
          <w:sz w:val="24"/>
        </w:rPr>
        <w:t xml:space="preserve"> s </w:t>
      </w:r>
      <w:r>
        <w:rPr>
          <w:rFonts w:ascii="Times New Roman" w:hAnsi="Times New Roman"/>
          <w:noProof/>
          <w:sz w:val="24"/>
        </w:rPr>
        <w:t>dohodou EPA. Spoločnosti na oboch stranách využívajú synergiu medzi rozhodnutiami</w:t>
      </w:r>
      <w:r w:rsidR="008C064E">
        <w:rPr>
          <w:rFonts w:ascii="Times New Roman" w:hAnsi="Times New Roman"/>
          <w:noProof/>
          <w:sz w:val="24"/>
        </w:rPr>
        <w:t xml:space="preserve"> o </w:t>
      </w:r>
      <w:r>
        <w:rPr>
          <w:rFonts w:ascii="Times New Roman" w:hAnsi="Times New Roman"/>
          <w:noProof/>
          <w:sz w:val="24"/>
        </w:rPr>
        <w:t>vzájomnej primeranosti</w:t>
      </w:r>
      <w:r w:rsidR="008C064E">
        <w:rPr>
          <w:rFonts w:ascii="Times New Roman" w:hAnsi="Times New Roman"/>
          <w:noProof/>
          <w:sz w:val="24"/>
        </w:rPr>
        <w:t xml:space="preserve"> a </w:t>
      </w:r>
      <w:r>
        <w:rPr>
          <w:rFonts w:ascii="Times New Roman" w:hAnsi="Times New Roman"/>
          <w:noProof/>
          <w:sz w:val="24"/>
        </w:rPr>
        <w:t>dohodou EPA, keďže možnosť voľného toku údajov medzi EÚ</w:t>
      </w:r>
      <w:r w:rsidR="008C064E">
        <w:rPr>
          <w:rFonts w:ascii="Times New Roman" w:hAnsi="Times New Roman"/>
          <w:noProof/>
          <w:sz w:val="24"/>
        </w:rPr>
        <w:t xml:space="preserve"> a </w:t>
      </w:r>
      <w:r>
        <w:rPr>
          <w:rFonts w:ascii="Times New Roman" w:hAnsi="Times New Roman"/>
          <w:noProof/>
          <w:sz w:val="24"/>
        </w:rPr>
        <w:t>Japonskom ďalej uľahčuje obchodnú výmenu</w:t>
      </w:r>
      <w:r w:rsidR="008C064E">
        <w:rPr>
          <w:rFonts w:ascii="Times New Roman" w:hAnsi="Times New Roman"/>
          <w:noProof/>
          <w:sz w:val="24"/>
        </w:rPr>
        <w:t xml:space="preserve"> a </w:t>
      </w:r>
      <w:r>
        <w:rPr>
          <w:rFonts w:ascii="Times New Roman" w:hAnsi="Times New Roman"/>
          <w:noProof/>
          <w:sz w:val="24"/>
        </w:rPr>
        <w:t>vytvára významné podnikateľské príležitosti prostredníctvom privilegovaného prístupu na trh druhej strany. Zároveň to predstavuje dôležitý precedens, pretože jednoznačne ukazuje, že podpora prísnych noriem</w:t>
      </w:r>
      <w:r w:rsidR="008C064E">
        <w:rPr>
          <w:rFonts w:ascii="Times New Roman" w:hAnsi="Times New Roman"/>
          <w:noProof/>
          <w:sz w:val="24"/>
        </w:rPr>
        <w:t xml:space="preserve"> v </w:t>
      </w:r>
      <w:r>
        <w:rPr>
          <w:rFonts w:ascii="Times New Roman" w:hAnsi="Times New Roman"/>
          <w:noProof/>
          <w:sz w:val="24"/>
        </w:rPr>
        <w:t>oblasti súkromia</w:t>
      </w:r>
      <w:r w:rsidR="008C064E">
        <w:rPr>
          <w:rFonts w:ascii="Times New Roman" w:hAnsi="Times New Roman"/>
          <w:noProof/>
          <w:sz w:val="24"/>
        </w:rPr>
        <w:t xml:space="preserve"> a </w:t>
      </w:r>
      <w:r>
        <w:rPr>
          <w:rFonts w:ascii="Times New Roman" w:hAnsi="Times New Roman"/>
          <w:noProof/>
          <w:sz w:val="24"/>
        </w:rPr>
        <w:t>uľahčovanie medzinárodného obchodu môžu</w:t>
      </w:r>
      <w:r w:rsidR="008C064E">
        <w:rPr>
          <w:rFonts w:ascii="Times New Roman" w:hAnsi="Times New Roman"/>
          <w:noProof/>
          <w:sz w:val="24"/>
        </w:rPr>
        <w:t xml:space="preserve"> a </w:t>
      </w:r>
      <w:r>
        <w:rPr>
          <w:rFonts w:ascii="Times New Roman" w:hAnsi="Times New Roman"/>
          <w:noProof/>
          <w:sz w:val="24"/>
        </w:rPr>
        <w:t>musia ísť ruka</w:t>
      </w:r>
      <w:r w:rsidR="008C064E">
        <w:rPr>
          <w:rFonts w:ascii="Times New Roman" w:hAnsi="Times New Roman"/>
          <w:noProof/>
          <w:sz w:val="24"/>
        </w:rPr>
        <w:t xml:space="preserve"> v </w:t>
      </w:r>
      <w:r>
        <w:rPr>
          <w:rFonts w:ascii="Times New Roman" w:hAnsi="Times New Roman"/>
          <w:noProof/>
          <w:sz w:val="24"/>
        </w:rPr>
        <w:t>ruke.</w:t>
      </w:r>
    </w:p>
    <w:p w14:paraId="09CA1F8D" w14:textId="4119ED8E" w:rsidR="007E5662" w:rsidRDefault="007E5662" w:rsidP="001B0AE9">
      <w:pPr>
        <w:jc w:val="both"/>
        <w:rPr>
          <w:rFonts w:ascii="Times New Roman" w:hAnsi="Times New Roman" w:cs="Times New Roman"/>
          <w:noProof/>
          <w:sz w:val="24"/>
          <w:szCs w:val="24"/>
        </w:rPr>
      </w:pPr>
      <w:r>
        <w:rPr>
          <w:rFonts w:ascii="Times New Roman" w:hAnsi="Times New Roman"/>
          <w:noProof/>
          <w:sz w:val="24"/>
        </w:rPr>
        <w:t>Od prijatia rozhodnutí</w:t>
      </w:r>
      <w:r w:rsidR="008C064E">
        <w:rPr>
          <w:rFonts w:ascii="Times New Roman" w:hAnsi="Times New Roman"/>
          <w:noProof/>
          <w:sz w:val="24"/>
        </w:rPr>
        <w:t xml:space="preserve"> o </w:t>
      </w:r>
      <w:r>
        <w:rPr>
          <w:rFonts w:ascii="Times New Roman" w:hAnsi="Times New Roman"/>
          <w:noProof/>
          <w:sz w:val="24"/>
        </w:rPr>
        <w:t>primeranosti EÚ</w:t>
      </w:r>
      <w:r w:rsidR="008C064E">
        <w:rPr>
          <w:rFonts w:ascii="Times New Roman" w:hAnsi="Times New Roman"/>
          <w:noProof/>
          <w:sz w:val="24"/>
        </w:rPr>
        <w:t xml:space="preserve"> a </w:t>
      </w:r>
      <w:r>
        <w:rPr>
          <w:rFonts w:ascii="Times New Roman" w:hAnsi="Times New Roman"/>
          <w:noProof/>
          <w:sz w:val="24"/>
        </w:rPr>
        <w:t>Japonsko ako podobne zmýšľajúci partneri ďalej zintenzívnili svoju spoluprácu</w:t>
      </w:r>
      <w:r w:rsidR="008C064E">
        <w:rPr>
          <w:rFonts w:ascii="Times New Roman" w:hAnsi="Times New Roman"/>
          <w:noProof/>
          <w:sz w:val="24"/>
        </w:rPr>
        <w:t xml:space="preserve"> v </w:t>
      </w:r>
      <w:r>
        <w:rPr>
          <w:rFonts w:ascii="Times New Roman" w:hAnsi="Times New Roman"/>
          <w:noProof/>
          <w:sz w:val="24"/>
        </w:rPr>
        <w:t>súvislosti</w:t>
      </w:r>
      <w:r w:rsidR="008C064E">
        <w:rPr>
          <w:rFonts w:ascii="Times New Roman" w:hAnsi="Times New Roman"/>
          <w:noProof/>
          <w:sz w:val="24"/>
        </w:rPr>
        <w:t xml:space="preserve"> s </w:t>
      </w:r>
      <w:r>
        <w:rPr>
          <w:rFonts w:ascii="Times New Roman" w:hAnsi="Times New Roman"/>
          <w:noProof/>
          <w:sz w:val="24"/>
        </w:rPr>
        <w:t>digitálnymi záležitosťami vo všeobecnosti,</w:t>
      </w:r>
      <w:r w:rsidR="008C064E">
        <w:rPr>
          <w:rFonts w:ascii="Times New Roman" w:hAnsi="Times New Roman"/>
          <w:noProof/>
          <w:sz w:val="24"/>
        </w:rPr>
        <w:t xml:space="preserve"> a </w:t>
      </w:r>
      <w:r>
        <w:rPr>
          <w:rFonts w:ascii="Times New Roman" w:hAnsi="Times New Roman"/>
          <w:noProof/>
          <w:sz w:val="24"/>
        </w:rPr>
        <w:t>najmä</w:t>
      </w:r>
      <w:r w:rsidR="008C064E">
        <w:rPr>
          <w:rFonts w:ascii="Times New Roman" w:hAnsi="Times New Roman"/>
          <w:noProof/>
          <w:sz w:val="24"/>
        </w:rPr>
        <w:t xml:space="preserve"> v </w:t>
      </w:r>
      <w:r>
        <w:rPr>
          <w:rFonts w:ascii="Times New Roman" w:hAnsi="Times New Roman"/>
          <w:noProof/>
          <w:sz w:val="24"/>
        </w:rPr>
        <w:t>oblasti tokov údajov. Na bilaterálnej úrovni sa to odráža najmä na uzatvorení digitálneho partnerstva</w:t>
      </w:r>
      <w:r w:rsidR="008C064E">
        <w:rPr>
          <w:rFonts w:ascii="Times New Roman" w:hAnsi="Times New Roman"/>
          <w:noProof/>
          <w:sz w:val="24"/>
        </w:rPr>
        <w:t xml:space="preserve"> v </w:t>
      </w:r>
      <w:r>
        <w:rPr>
          <w:rFonts w:ascii="Times New Roman" w:hAnsi="Times New Roman"/>
          <w:noProof/>
          <w:sz w:val="24"/>
        </w:rPr>
        <w:t>máji 2022</w:t>
      </w:r>
      <w:r>
        <w:rPr>
          <w:rStyle w:val="FootnoteReference"/>
          <w:rFonts w:ascii="Times New Roman" w:hAnsi="Times New Roman" w:cs="Times New Roman"/>
          <w:noProof/>
          <w:sz w:val="24"/>
          <w:szCs w:val="24"/>
          <w:lang w:val="en-IE"/>
        </w:rPr>
        <w:footnoteReference w:id="14"/>
      </w:r>
      <w:r w:rsidR="008C064E">
        <w:rPr>
          <w:rFonts w:ascii="Times New Roman" w:hAnsi="Times New Roman"/>
          <w:noProof/>
          <w:sz w:val="24"/>
        </w:rPr>
        <w:t xml:space="preserve"> a </w:t>
      </w:r>
      <w:r>
        <w:rPr>
          <w:rFonts w:ascii="Times New Roman" w:hAnsi="Times New Roman"/>
          <w:noProof/>
          <w:sz w:val="24"/>
        </w:rPr>
        <w:t>na začatí rokovaní</w:t>
      </w:r>
      <w:r w:rsidR="008C064E">
        <w:rPr>
          <w:rFonts w:ascii="Times New Roman" w:hAnsi="Times New Roman"/>
          <w:noProof/>
          <w:sz w:val="24"/>
        </w:rPr>
        <w:t xml:space="preserve"> v </w:t>
      </w:r>
      <w:r>
        <w:rPr>
          <w:rFonts w:ascii="Times New Roman" w:hAnsi="Times New Roman"/>
          <w:noProof/>
          <w:sz w:val="24"/>
        </w:rPr>
        <w:t>októbri 2022</w:t>
      </w:r>
      <w:r w:rsidR="008C064E">
        <w:rPr>
          <w:rFonts w:ascii="Times New Roman" w:hAnsi="Times New Roman"/>
          <w:noProof/>
          <w:sz w:val="24"/>
        </w:rPr>
        <w:t xml:space="preserve"> s </w:t>
      </w:r>
      <w:r>
        <w:rPr>
          <w:rFonts w:ascii="Times New Roman" w:hAnsi="Times New Roman"/>
          <w:noProof/>
          <w:sz w:val="24"/>
        </w:rPr>
        <w:t>cieľom zahrnúť do dohody EPA pravidlá týkajúce sa cezhraničných tokov údajov</w:t>
      </w:r>
      <w:r>
        <w:rPr>
          <w:rStyle w:val="FootnoteReference"/>
          <w:rFonts w:ascii="Times New Roman" w:hAnsi="Times New Roman" w:cs="Times New Roman"/>
          <w:noProof/>
          <w:sz w:val="24"/>
          <w:szCs w:val="24"/>
        </w:rPr>
        <w:footnoteReference w:id="15"/>
      </w:r>
      <w:r>
        <w:rPr>
          <w:rFonts w:ascii="Times New Roman" w:hAnsi="Times New Roman"/>
          <w:noProof/>
          <w:sz w:val="24"/>
        </w:rPr>
        <w:t>,</w:t>
      </w:r>
      <w:r>
        <w:rPr>
          <w:rFonts w:ascii="Times New Roman" w:hAnsi="Times New Roman"/>
          <w:noProof/>
          <w:color w:val="FF0000"/>
          <w:sz w:val="24"/>
        </w:rPr>
        <w:t xml:space="preserve"> </w:t>
      </w:r>
      <w:r>
        <w:rPr>
          <w:rFonts w:ascii="Times New Roman" w:hAnsi="Times New Roman"/>
          <w:noProof/>
          <w:sz w:val="24"/>
        </w:rPr>
        <w:t>čo ešte viac posilní synergiu</w:t>
      </w:r>
      <w:r w:rsidR="008C064E">
        <w:rPr>
          <w:rFonts w:ascii="Times New Roman" w:hAnsi="Times New Roman"/>
          <w:noProof/>
          <w:sz w:val="24"/>
        </w:rPr>
        <w:t xml:space="preserve"> s </w:t>
      </w:r>
      <w:r>
        <w:rPr>
          <w:rFonts w:ascii="Times New Roman" w:hAnsi="Times New Roman"/>
          <w:noProof/>
          <w:sz w:val="24"/>
        </w:rPr>
        <w:t>dohodou</w:t>
      </w:r>
      <w:r w:rsidR="008C064E">
        <w:rPr>
          <w:rFonts w:ascii="Times New Roman" w:hAnsi="Times New Roman"/>
          <w:noProof/>
          <w:sz w:val="24"/>
        </w:rPr>
        <w:t xml:space="preserve"> o </w:t>
      </w:r>
      <w:r>
        <w:rPr>
          <w:rFonts w:ascii="Times New Roman" w:hAnsi="Times New Roman"/>
          <w:noProof/>
          <w:sz w:val="24"/>
        </w:rPr>
        <w:t>vzájomnej primeranosti. Na mnohostrannej úrovni sa EÚ</w:t>
      </w:r>
      <w:r w:rsidR="008C064E">
        <w:rPr>
          <w:rFonts w:ascii="Times New Roman" w:hAnsi="Times New Roman"/>
          <w:noProof/>
          <w:sz w:val="24"/>
        </w:rPr>
        <w:t xml:space="preserve"> a </w:t>
      </w:r>
      <w:r>
        <w:rPr>
          <w:rFonts w:ascii="Times New Roman" w:hAnsi="Times New Roman"/>
          <w:noProof/>
          <w:sz w:val="24"/>
        </w:rPr>
        <w:t>Japonsko spojili</w:t>
      </w:r>
      <w:r w:rsidR="008C064E">
        <w:rPr>
          <w:rFonts w:ascii="Times New Roman" w:hAnsi="Times New Roman"/>
          <w:noProof/>
          <w:sz w:val="24"/>
        </w:rPr>
        <w:t xml:space="preserve"> v </w:t>
      </w:r>
      <w:r>
        <w:rPr>
          <w:rFonts w:ascii="Times New Roman" w:hAnsi="Times New Roman"/>
          <w:noProof/>
          <w:sz w:val="24"/>
        </w:rPr>
        <w:t>úsilí podporiť, posilniť</w:t>
      </w:r>
      <w:r w:rsidR="008C064E">
        <w:rPr>
          <w:rFonts w:ascii="Times New Roman" w:hAnsi="Times New Roman"/>
          <w:noProof/>
          <w:sz w:val="24"/>
        </w:rPr>
        <w:t xml:space="preserve"> a </w:t>
      </w:r>
      <w:r>
        <w:rPr>
          <w:rFonts w:ascii="Times New Roman" w:hAnsi="Times New Roman"/>
          <w:noProof/>
          <w:sz w:val="24"/>
        </w:rPr>
        <w:t>sfunkčniť koncepciu „spoľahlivého voľného toku údajov“, ktorú začal bývalý predseda vlády, Shinzo Abe –</w:t>
      </w:r>
      <w:r w:rsidR="008C064E">
        <w:rPr>
          <w:rFonts w:ascii="Times New Roman" w:hAnsi="Times New Roman"/>
          <w:noProof/>
          <w:sz w:val="24"/>
        </w:rPr>
        <w:t xml:space="preserve"> a </w:t>
      </w:r>
      <w:r>
        <w:rPr>
          <w:rFonts w:ascii="Times New Roman" w:hAnsi="Times New Roman"/>
          <w:noProof/>
          <w:sz w:val="24"/>
        </w:rPr>
        <w:t>to aj prostredníctvom úzkej spolupráce</w:t>
      </w:r>
      <w:r w:rsidR="008C064E">
        <w:rPr>
          <w:rFonts w:ascii="Times New Roman" w:hAnsi="Times New Roman"/>
          <w:noProof/>
          <w:sz w:val="24"/>
        </w:rPr>
        <w:t xml:space="preserve"> v </w:t>
      </w:r>
      <w:r>
        <w:rPr>
          <w:rFonts w:ascii="Times New Roman" w:hAnsi="Times New Roman"/>
          <w:noProof/>
          <w:sz w:val="24"/>
        </w:rPr>
        <w:t>rámci G7, Svetovej obchodnej organizácie (v kontexte iniciatívy spoločného vyhlásenia</w:t>
      </w:r>
      <w:r w:rsidR="008C064E">
        <w:rPr>
          <w:rFonts w:ascii="Times New Roman" w:hAnsi="Times New Roman"/>
          <w:noProof/>
          <w:sz w:val="24"/>
        </w:rPr>
        <w:t xml:space="preserve"> o </w:t>
      </w:r>
      <w:r>
        <w:rPr>
          <w:rFonts w:ascii="Times New Roman" w:hAnsi="Times New Roman"/>
          <w:noProof/>
          <w:sz w:val="24"/>
        </w:rPr>
        <w:t>elektronickom obchode)</w:t>
      </w:r>
      <w:r w:rsidR="008C064E">
        <w:rPr>
          <w:rFonts w:ascii="Times New Roman" w:hAnsi="Times New Roman"/>
          <w:noProof/>
          <w:sz w:val="24"/>
        </w:rPr>
        <w:t xml:space="preserve"> a </w:t>
      </w:r>
      <w:r>
        <w:rPr>
          <w:rFonts w:ascii="Times New Roman" w:hAnsi="Times New Roman"/>
          <w:noProof/>
          <w:sz w:val="24"/>
        </w:rPr>
        <w:t>Organizácie pre hospodársku spoluprácu</w:t>
      </w:r>
      <w:r w:rsidR="008C064E">
        <w:rPr>
          <w:rFonts w:ascii="Times New Roman" w:hAnsi="Times New Roman"/>
          <w:noProof/>
          <w:sz w:val="24"/>
        </w:rPr>
        <w:t xml:space="preserve"> a </w:t>
      </w:r>
      <w:r>
        <w:rPr>
          <w:rFonts w:ascii="Times New Roman" w:hAnsi="Times New Roman"/>
          <w:noProof/>
          <w:sz w:val="24"/>
        </w:rPr>
        <w:t>rozvoj (ďalej len „OECD“).</w:t>
      </w:r>
      <w:r w:rsidR="008C064E">
        <w:rPr>
          <w:rFonts w:ascii="Times New Roman" w:hAnsi="Times New Roman"/>
          <w:noProof/>
          <w:sz w:val="24"/>
        </w:rPr>
        <w:t xml:space="preserve"> V </w:t>
      </w:r>
      <w:r>
        <w:rPr>
          <w:rFonts w:ascii="Times New Roman" w:hAnsi="Times New Roman"/>
          <w:noProof/>
          <w:sz w:val="24"/>
        </w:rPr>
        <w:t>rámci OECD bola intenzívna spolupráca medzi EÚ</w:t>
      </w:r>
      <w:r w:rsidR="008C064E">
        <w:rPr>
          <w:rFonts w:ascii="Times New Roman" w:hAnsi="Times New Roman"/>
          <w:noProof/>
          <w:sz w:val="24"/>
        </w:rPr>
        <w:t xml:space="preserve"> a </w:t>
      </w:r>
      <w:r>
        <w:rPr>
          <w:rFonts w:ascii="Times New Roman" w:hAnsi="Times New Roman"/>
          <w:noProof/>
          <w:sz w:val="24"/>
        </w:rPr>
        <w:t>Japonskom</w:t>
      </w:r>
      <w:r w:rsidR="008C064E">
        <w:rPr>
          <w:rFonts w:ascii="Times New Roman" w:hAnsi="Times New Roman"/>
          <w:noProof/>
          <w:sz w:val="24"/>
        </w:rPr>
        <w:t xml:space="preserve"> v </w:t>
      </w:r>
      <w:r>
        <w:rPr>
          <w:rFonts w:ascii="Times New Roman" w:hAnsi="Times New Roman"/>
          <w:noProof/>
          <w:sz w:val="24"/>
        </w:rPr>
        <w:t>týchto veciach dôležitá predovšetkým</w:t>
      </w:r>
      <w:r w:rsidR="008C064E">
        <w:rPr>
          <w:rFonts w:ascii="Times New Roman" w:hAnsi="Times New Roman"/>
          <w:noProof/>
          <w:sz w:val="24"/>
        </w:rPr>
        <w:t xml:space="preserve"> v </w:t>
      </w:r>
      <w:r>
        <w:rPr>
          <w:rFonts w:ascii="Times New Roman" w:hAnsi="Times New Roman"/>
          <w:noProof/>
          <w:sz w:val="24"/>
        </w:rPr>
        <w:t>súvislosti</w:t>
      </w:r>
      <w:r w:rsidR="008C064E">
        <w:rPr>
          <w:rFonts w:ascii="Times New Roman" w:hAnsi="Times New Roman"/>
          <w:noProof/>
          <w:sz w:val="24"/>
        </w:rPr>
        <w:t xml:space="preserve"> s </w:t>
      </w:r>
      <w:r>
        <w:rPr>
          <w:rFonts w:ascii="Times New Roman" w:hAnsi="Times New Roman"/>
          <w:noProof/>
          <w:sz w:val="24"/>
        </w:rPr>
        <w:t>tým, že sa po prvýkrát na medzinárodnej úrovni prijali spoločné zásady prístupu vlády</w:t>
      </w:r>
      <w:r w:rsidR="008C064E">
        <w:rPr>
          <w:rFonts w:ascii="Times New Roman" w:hAnsi="Times New Roman"/>
          <w:noProof/>
          <w:sz w:val="24"/>
        </w:rPr>
        <w:t xml:space="preserve"> k </w:t>
      </w:r>
      <w:r>
        <w:rPr>
          <w:rFonts w:ascii="Times New Roman" w:hAnsi="Times New Roman"/>
          <w:noProof/>
          <w:sz w:val="24"/>
        </w:rPr>
        <w:t>osobným údajom uchovávaným súkromným sektorom</w:t>
      </w:r>
      <w:r>
        <w:rPr>
          <w:rStyle w:val="FootnoteReference"/>
          <w:rFonts w:ascii="Times New Roman" w:hAnsi="Times New Roman" w:cs="Times New Roman"/>
          <w:noProof/>
          <w:sz w:val="24"/>
          <w:szCs w:val="24"/>
        </w:rPr>
        <w:footnoteReference w:id="16"/>
      </w:r>
      <w:r>
        <w:rPr>
          <w:rFonts w:ascii="Times New Roman" w:hAnsi="Times New Roman"/>
          <w:noProof/>
          <w:sz w:val="24"/>
        </w:rPr>
        <w:t>. Všetky tieto rôzne oblasti činnosti vo väčšej či menšej miere vychádzali zo spoločných hodnôt</w:t>
      </w:r>
      <w:r w:rsidR="008C064E">
        <w:rPr>
          <w:rFonts w:ascii="Times New Roman" w:hAnsi="Times New Roman"/>
          <w:noProof/>
          <w:sz w:val="24"/>
        </w:rPr>
        <w:t xml:space="preserve"> a </w:t>
      </w:r>
      <w:r>
        <w:rPr>
          <w:rFonts w:ascii="Times New Roman" w:hAnsi="Times New Roman"/>
          <w:noProof/>
          <w:sz w:val="24"/>
        </w:rPr>
        <w:t>požiadaviek, na ktorých je založená dohoda medzi EÚ</w:t>
      </w:r>
      <w:r w:rsidR="008C064E">
        <w:rPr>
          <w:rFonts w:ascii="Times New Roman" w:hAnsi="Times New Roman"/>
          <w:noProof/>
          <w:sz w:val="24"/>
        </w:rPr>
        <w:t xml:space="preserve"> a </w:t>
      </w:r>
      <w:r>
        <w:rPr>
          <w:rFonts w:ascii="Times New Roman" w:hAnsi="Times New Roman"/>
          <w:noProof/>
          <w:sz w:val="24"/>
        </w:rPr>
        <w:t>Japonskom</w:t>
      </w:r>
      <w:r w:rsidR="008C064E">
        <w:rPr>
          <w:rFonts w:ascii="Times New Roman" w:hAnsi="Times New Roman"/>
          <w:noProof/>
          <w:sz w:val="24"/>
        </w:rPr>
        <w:t xml:space="preserve"> o </w:t>
      </w:r>
      <w:r>
        <w:rPr>
          <w:rFonts w:ascii="Times New Roman" w:hAnsi="Times New Roman"/>
          <w:noProof/>
          <w:sz w:val="24"/>
        </w:rPr>
        <w:t xml:space="preserve">vzájomnej primeranosti. </w:t>
      </w:r>
    </w:p>
    <w:p w14:paraId="7B8241F0" w14:textId="5617FE4F" w:rsidR="00E55B38" w:rsidRDefault="00BC1349" w:rsidP="00314611">
      <w:pPr>
        <w:jc w:val="both"/>
        <w:rPr>
          <w:rFonts w:ascii="Times New Roman" w:hAnsi="Times New Roman" w:cs="Times New Roman"/>
          <w:noProof/>
          <w:sz w:val="24"/>
          <w:szCs w:val="24"/>
        </w:rPr>
      </w:pPr>
      <w:r>
        <w:rPr>
          <w:rFonts w:ascii="Times New Roman" w:hAnsi="Times New Roman"/>
          <w:noProof/>
          <w:sz w:val="24"/>
        </w:rPr>
        <w:t>Na pravidelné overovanie toho, či sú zistenia rozhodnutia</w:t>
      </w:r>
      <w:r w:rsidR="008C064E">
        <w:rPr>
          <w:rFonts w:ascii="Times New Roman" w:hAnsi="Times New Roman"/>
          <w:noProof/>
          <w:sz w:val="24"/>
        </w:rPr>
        <w:t xml:space="preserve"> o </w:t>
      </w:r>
      <w:r>
        <w:rPr>
          <w:rFonts w:ascii="Times New Roman" w:hAnsi="Times New Roman"/>
          <w:noProof/>
          <w:sz w:val="24"/>
        </w:rPr>
        <w:t>primeranosti naďalej fakticky aj právne odôvodnené, sa od Komisie požaduje, aby vykonávala pravidelné preskúmavania</w:t>
      </w:r>
      <w:r w:rsidR="008C064E">
        <w:rPr>
          <w:rFonts w:ascii="Times New Roman" w:hAnsi="Times New Roman"/>
          <w:noProof/>
          <w:sz w:val="24"/>
        </w:rPr>
        <w:t xml:space="preserve"> a </w:t>
      </w:r>
      <w:r>
        <w:rPr>
          <w:rFonts w:ascii="Times New Roman" w:hAnsi="Times New Roman"/>
          <w:noProof/>
          <w:sz w:val="24"/>
        </w:rPr>
        <w:t>podávala</w:t>
      </w:r>
      <w:r w:rsidR="008C064E">
        <w:rPr>
          <w:rFonts w:ascii="Times New Roman" w:hAnsi="Times New Roman"/>
          <w:noProof/>
          <w:sz w:val="24"/>
        </w:rPr>
        <w:t xml:space="preserve"> o </w:t>
      </w:r>
      <w:r>
        <w:rPr>
          <w:rFonts w:ascii="Times New Roman" w:hAnsi="Times New Roman"/>
          <w:noProof/>
          <w:sz w:val="24"/>
        </w:rPr>
        <w:t>ich výsledkoch správy Európskemu parlamentu</w:t>
      </w:r>
      <w:r w:rsidR="008C064E">
        <w:rPr>
          <w:rFonts w:ascii="Times New Roman" w:hAnsi="Times New Roman"/>
          <w:noProof/>
          <w:sz w:val="24"/>
        </w:rPr>
        <w:t xml:space="preserve"> a </w:t>
      </w:r>
      <w:r>
        <w:rPr>
          <w:rFonts w:ascii="Times New Roman" w:hAnsi="Times New Roman"/>
          <w:noProof/>
          <w:sz w:val="24"/>
        </w:rPr>
        <w:t>Rade</w:t>
      </w:r>
      <w:r>
        <w:rPr>
          <w:rStyle w:val="FootnoteReference"/>
          <w:rFonts w:ascii="Times New Roman" w:hAnsi="Times New Roman" w:cs="Times New Roman"/>
          <w:noProof/>
          <w:sz w:val="24"/>
          <w:szCs w:val="24"/>
          <w:lang w:val="en-IE"/>
        </w:rPr>
        <w:footnoteReference w:id="17"/>
      </w:r>
      <w:r>
        <w:rPr>
          <w:rFonts w:ascii="Times New Roman" w:hAnsi="Times New Roman"/>
          <w:noProof/>
          <w:sz w:val="24"/>
        </w:rPr>
        <w:t>. Táto správa, ktorá sa vzťahuje na všetky aspekty fungovania rozhodnutia, je záverom prvého pravidelného preskúmavania. Na strane Japonska sa na preskúmavaní zúčastnili zástupcovia Komisie pre ochranu osobných informácií, ministerstva vnútra</w:t>
      </w:r>
      <w:r w:rsidR="008C064E">
        <w:rPr>
          <w:rFonts w:ascii="Times New Roman" w:hAnsi="Times New Roman"/>
          <w:noProof/>
          <w:sz w:val="24"/>
        </w:rPr>
        <w:t xml:space="preserve"> a </w:t>
      </w:r>
      <w:r>
        <w:rPr>
          <w:rFonts w:ascii="Times New Roman" w:hAnsi="Times New Roman"/>
          <w:noProof/>
          <w:sz w:val="24"/>
        </w:rPr>
        <w:t>komunikácií, ministerstva spravodlivosti, ministerstva obrany</w:t>
      </w:r>
      <w:r w:rsidR="008C064E">
        <w:rPr>
          <w:rFonts w:ascii="Times New Roman" w:hAnsi="Times New Roman"/>
          <w:noProof/>
          <w:sz w:val="24"/>
        </w:rPr>
        <w:t xml:space="preserve"> a </w:t>
      </w:r>
      <w:r>
        <w:rPr>
          <w:rFonts w:ascii="Times New Roman" w:hAnsi="Times New Roman"/>
          <w:noProof/>
          <w:sz w:val="24"/>
        </w:rPr>
        <w:t>Národnej policajnej agentúry. Delegáciu EÚ tvorili traja zástupcovia určení výborom EDPB</w:t>
      </w:r>
      <w:r w:rsidR="008C064E">
        <w:rPr>
          <w:rFonts w:ascii="Times New Roman" w:hAnsi="Times New Roman"/>
          <w:noProof/>
          <w:sz w:val="24"/>
        </w:rPr>
        <w:t xml:space="preserve"> a </w:t>
      </w:r>
      <w:r>
        <w:rPr>
          <w:rFonts w:ascii="Times New Roman" w:hAnsi="Times New Roman"/>
          <w:noProof/>
          <w:sz w:val="24"/>
        </w:rPr>
        <w:t xml:space="preserve">členovia Európskej komisie. </w:t>
      </w:r>
    </w:p>
    <w:p w14:paraId="70DC2058" w14:textId="08EEBCD5" w:rsidR="00A66C72" w:rsidRPr="00E55B38" w:rsidRDefault="00603694" w:rsidP="00314611">
      <w:pPr>
        <w:jc w:val="both"/>
        <w:rPr>
          <w:rFonts w:ascii="Times New Roman" w:hAnsi="Times New Roman" w:cs="Times New Roman"/>
          <w:noProof/>
          <w:sz w:val="24"/>
          <w:szCs w:val="24"/>
        </w:rPr>
      </w:pPr>
      <w:r>
        <w:rPr>
          <w:rFonts w:ascii="Times New Roman" w:hAnsi="Times New Roman"/>
          <w:noProof/>
          <w:sz w:val="24"/>
        </w:rPr>
        <w:t>Stretnutie zamerané na preskúmanie medzi dvoma delegáciami sa uskutočnilo 26. októbra 2021, pričom pred ním aj po ňom sa viedli viaceré výmeny názorov. Na pripravenie preskúmania Komisia konkrétne zhromaždila informácie od japonských orgánov</w:t>
      </w:r>
      <w:r w:rsidR="008C064E">
        <w:rPr>
          <w:rFonts w:ascii="Times New Roman" w:hAnsi="Times New Roman"/>
          <w:noProof/>
          <w:sz w:val="24"/>
        </w:rPr>
        <w:t xml:space="preserve"> o </w:t>
      </w:r>
      <w:r>
        <w:rPr>
          <w:rFonts w:ascii="Times New Roman" w:hAnsi="Times New Roman"/>
          <w:noProof/>
          <w:sz w:val="24"/>
        </w:rPr>
        <w:t>fungovaní rozhodnutia, najmä</w:t>
      </w:r>
      <w:r w:rsidR="008C064E">
        <w:rPr>
          <w:rFonts w:ascii="Times New Roman" w:hAnsi="Times New Roman"/>
          <w:noProof/>
          <w:sz w:val="24"/>
        </w:rPr>
        <w:t xml:space="preserve"> o </w:t>
      </w:r>
      <w:r>
        <w:rPr>
          <w:rFonts w:ascii="Times New Roman" w:hAnsi="Times New Roman"/>
          <w:noProof/>
          <w:sz w:val="24"/>
        </w:rPr>
        <w:t>vykonávaní doplňujúcich pravidiel. Komisia takisto získala</w:t>
      </w:r>
      <w:r w:rsidR="008C064E">
        <w:rPr>
          <w:rFonts w:ascii="Times New Roman" w:hAnsi="Times New Roman"/>
          <w:noProof/>
          <w:sz w:val="24"/>
        </w:rPr>
        <w:t xml:space="preserve"> z </w:t>
      </w:r>
      <w:r>
        <w:rPr>
          <w:rFonts w:ascii="Times New Roman" w:hAnsi="Times New Roman"/>
          <w:noProof/>
          <w:sz w:val="24"/>
        </w:rPr>
        <w:t>verejných zdrojov</w:t>
      </w:r>
      <w:r w:rsidR="008C064E">
        <w:rPr>
          <w:rFonts w:ascii="Times New Roman" w:hAnsi="Times New Roman"/>
          <w:noProof/>
          <w:sz w:val="24"/>
        </w:rPr>
        <w:t xml:space="preserve"> a </w:t>
      </w:r>
      <w:r>
        <w:rPr>
          <w:rFonts w:ascii="Times New Roman" w:hAnsi="Times New Roman"/>
          <w:noProof/>
          <w:sz w:val="24"/>
        </w:rPr>
        <w:t>od miestnych odborníkov informácie</w:t>
      </w:r>
      <w:r w:rsidR="008C064E">
        <w:rPr>
          <w:rFonts w:ascii="Times New Roman" w:hAnsi="Times New Roman"/>
          <w:noProof/>
          <w:sz w:val="24"/>
        </w:rPr>
        <w:t xml:space="preserve"> o </w:t>
      </w:r>
      <w:r>
        <w:rPr>
          <w:rFonts w:ascii="Times New Roman" w:hAnsi="Times New Roman"/>
          <w:noProof/>
          <w:sz w:val="24"/>
        </w:rPr>
        <w:t>fungovaní rozhodnutia</w:t>
      </w:r>
      <w:r w:rsidR="008C064E">
        <w:rPr>
          <w:rFonts w:ascii="Times New Roman" w:hAnsi="Times New Roman"/>
          <w:noProof/>
          <w:sz w:val="24"/>
        </w:rPr>
        <w:t xml:space="preserve"> a </w:t>
      </w:r>
      <w:r>
        <w:rPr>
          <w:rFonts w:ascii="Times New Roman" w:hAnsi="Times New Roman"/>
          <w:noProof/>
          <w:sz w:val="24"/>
        </w:rPr>
        <w:t>príslušnom vývoji</w:t>
      </w:r>
      <w:r w:rsidR="008C064E">
        <w:rPr>
          <w:rFonts w:ascii="Times New Roman" w:hAnsi="Times New Roman"/>
          <w:noProof/>
          <w:sz w:val="24"/>
        </w:rPr>
        <w:t xml:space="preserve"> v </w:t>
      </w:r>
      <w:r>
        <w:rPr>
          <w:rFonts w:ascii="Times New Roman" w:hAnsi="Times New Roman"/>
          <w:noProof/>
          <w:sz w:val="24"/>
        </w:rPr>
        <w:t>japonskom práve</w:t>
      </w:r>
      <w:r w:rsidR="008C064E">
        <w:rPr>
          <w:rFonts w:ascii="Times New Roman" w:hAnsi="Times New Roman"/>
          <w:noProof/>
          <w:sz w:val="24"/>
        </w:rPr>
        <w:t xml:space="preserve"> a </w:t>
      </w:r>
      <w:r>
        <w:rPr>
          <w:rFonts w:ascii="Times New Roman" w:hAnsi="Times New Roman"/>
          <w:noProof/>
          <w:sz w:val="24"/>
        </w:rPr>
        <w:t>praxi, pokiaľ ide</w:t>
      </w:r>
      <w:r w:rsidR="008C064E">
        <w:rPr>
          <w:rFonts w:ascii="Times New Roman" w:hAnsi="Times New Roman"/>
          <w:noProof/>
          <w:sz w:val="24"/>
        </w:rPr>
        <w:t xml:space="preserve"> o </w:t>
      </w:r>
      <w:r>
        <w:rPr>
          <w:rFonts w:ascii="Times New Roman" w:hAnsi="Times New Roman"/>
          <w:noProof/>
          <w:sz w:val="24"/>
        </w:rPr>
        <w:t>pravidlá</w:t>
      </w:r>
      <w:r w:rsidR="008C064E">
        <w:rPr>
          <w:rFonts w:ascii="Times New Roman" w:hAnsi="Times New Roman"/>
          <w:noProof/>
          <w:sz w:val="24"/>
        </w:rPr>
        <w:t xml:space="preserve"> v </w:t>
      </w:r>
      <w:r>
        <w:rPr>
          <w:rFonts w:ascii="Times New Roman" w:hAnsi="Times New Roman"/>
          <w:noProof/>
          <w:sz w:val="24"/>
        </w:rPr>
        <w:t>oblasti ochrany údajov uplatňované na súkromné subjekty</w:t>
      </w:r>
      <w:r w:rsidR="008C064E">
        <w:rPr>
          <w:rFonts w:ascii="Times New Roman" w:hAnsi="Times New Roman"/>
          <w:noProof/>
          <w:sz w:val="24"/>
        </w:rPr>
        <w:t xml:space="preserve"> a </w:t>
      </w:r>
      <w:r>
        <w:rPr>
          <w:rFonts w:ascii="Times New Roman" w:hAnsi="Times New Roman"/>
          <w:noProof/>
          <w:sz w:val="24"/>
        </w:rPr>
        <w:t>na prístup vlády. Okrem stretnutia zameraného na preskúmanie medzi Komisiou</w:t>
      </w:r>
      <w:r w:rsidR="008C064E">
        <w:rPr>
          <w:rFonts w:ascii="Times New Roman" w:hAnsi="Times New Roman"/>
          <w:noProof/>
          <w:sz w:val="24"/>
        </w:rPr>
        <w:t xml:space="preserve"> a </w:t>
      </w:r>
      <w:r>
        <w:rPr>
          <w:rFonts w:ascii="Times New Roman" w:hAnsi="Times New Roman"/>
          <w:noProof/>
          <w:sz w:val="24"/>
        </w:rPr>
        <w:t>Komisiou pre ochranu osobných informácií sa uskutočnilo viacero výmen názorov</w:t>
      </w:r>
      <w:r w:rsidR="008C064E">
        <w:rPr>
          <w:rFonts w:ascii="Times New Roman" w:hAnsi="Times New Roman"/>
          <w:noProof/>
          <w:sz w:val="24"/>
        </w:rPr>
        <w:t xml:space="preserve"> v </w:t>
      </w:r>
      <w:r>
        <w:rPr>
          <w:rFonts w:ascii="Times New Roman" w:hAnsi="Times New Roman"/>
          <w:noProof/>
          <w:sz w:val="24"/>
        </w:rPr>
        <w:t>nadväznosti na body,</w:t>
      </w:r>
      <w:r w:rsidR="008C064E">
        <w:rPr>
          <w:rFonts w:ascii="Times New Roman" w:hAnsi="Times New Roman"/>
          <w:noProof/>
          <w:sz w:val="24"/>
        </w:rPr>
        <w:t xml:space="preserve"> o </w:t>
      </w:r>
      <w:r>
        <w:rPr>
          <w:rFonts w:ascii="Times New Roman" w:hAnsi="Times New Roman"/>
          <w:noProof/>
          <w:sz w:val="24"/>
        </w:rPr>
        <w:t>ktorých sa na tomto stretnutí diskutovalo,</w:t>
      </w:r>
      <w:r w:rsidR="008C064E">
        <w:rPr>
          <w:rFonts w:ascii="Times New Roman" w:hAnsi="Times New Roman"/>
          <w:noProof/>
          <w:sz w:val="24"/>
        </w:rPr>
        <w:t xml:space="preserve"> a </w:t>
      </w:r>
      <w:r>
        <w:rPr>
          <w:rFonts w:ascii="Times New Roman" w:hAnsi="Times New Roman"/>
          <w:noProof/>
          <w:sz w:val="24"/>
        </w:rPr>
        <w:t>predovšetkým</w:t>
      </w:r>
      <w:r w:rsidR="008C064E">
        <w:rPr>
          <w:rFonts w:ascii="Times New Roman" w:hAnsi="Times New Roman"/>
          <w:noProof/>
          <w:sz w:val="24"/>
        </w:rPr>
        <w:t xml:space="preserve"> s </w:t>
      </w:r>
      <w:r>
        <w:rPr>
          <w:rFonts w:ascii="Times New Roman" w:hAnsi="Times New Roman"/>
          <w:noProof/>
          <w:sz w:val="24"/>
        </w:rPr>
        <w:t>cieľom riešiť otázky vyplývajúce zo zavedenia pravidiel týkajúcich sa pseudonymizovaných osobných informácií</w:t>
      </w:r>
      <w:r w:rsidR="008C064E">
        <w:rPr>
          <w:rFonts w:ascii="Times New Roman" w:hAnsi="Times New Roman"/>
          <w:noProof/>
          <w:sz w:val="24"/>
        </w:rPr>
        <w:t xml:space="preserve"> v </w:t>
      </w:r>
      <w:r>
        <w:rPr>
          <w:rFonts w:ascii="Times New Roman" w:hAnsi="Times New Roman"/>
          <w:noProof/>
          <w:sz w:val="24"/>
        </w:rPr>
        <w:t>zákone APPI.</w:t>
      </w:r>
    </w:p>
    <w:p w14:paraId="0E1B0E2F" w14:textId="6CB7EE26" w:rsidR="00A66C72" w:rsidRDefault="001848D9" w:rsidP="00A66C72">
      <w:pPr>
        <w:pStyle w:val="ListParagraph"/>
        <w:numPr>
          <w:ilvl w:val="0"/>
          <w:numId w:val="1"/>
        </w:numPr>
        <w:rPr>
          <w:rFonts w:ascii="Times New Roman" w:hAnsi="Times New Roman" w:cs="Times New Roman"/>
          <w:b/>
          <w:bCs/>
          <w:noProof/>
          <w:sz w:val="24"/>
          <w:szCs w:val="24"/>
        </w:rPr>
      </w:pPr>
      <w:r>
        <w:rPr>
          <w:rFonts w:ascii="Times New Roman" w:hAnsi="Times New Roman"/>
          <w:b/>
          <w:noProof/>
          <w:sz w:val="24"/>
        </w:rPr>
        <w:t>HLAVNÉ ZISTENIA</w:t>
      </w:r>
    </w:p>
    <w:p w14:paraId="08D2B076" w14:textId="4A5E1177" w:rsidR="00F01C5D" w:rsidRPr="00F01C5D" w:rsidRDefault="00F01C5D" w:rsidP="007E411C">
      <w:pPr>
        <w:jc w:val="both"/>
        <w:rPr>
          <w:rFonts w:ascii="Times New Roman" w:hAnsi="Times New Roman" w:cs="Times New Roman"/>
          <w:noProof/>
          <w:sz w:val="24"/>
          <w:szCs w:val="24"/>
        </w:rPr>
      </w:pPr>
      <w:r>
        <w:rPr>
          <w:rFonts w:ascii="Times New Roman" w:hAnsi="Times New Roman"/>
          <w:noProof/>
          <w:sz w:val="24"/>
        </w:rPr>
        <w:t>Podrobné zistenia týkajúce sa fungovania všetkých aspektov rozhodnutia</w:t>
      </w:r>
      <w:r w:rsidR="008C064E">
        <w:rPr>
          <w:rFonts w:ascii="Times New Roman" w:hAnsi="Times New Roman"/>
          <w:noProof/>
          <w:sz w:val="24"/>
        </w:rPr>
        <w:t xml:space="preserve"> o </w:t>
      </w:r>
      <w:r>
        <w:rPr>
          <w:rFonts w:ascii="Times New Roman" w:hAnsi="Times New Roman"/>
          <w:noProof/>
          <w:sz w:val="24"/>
        </w:rPr>
        <w:t>primeranosti sú uvedené</w:t>
      </w:r>
      <w:r w:rsidR="008C064E">
        <w:rPr>
          <w:rFonts w:ascii="Times New Roman" w:hAnsi="Times New Roman"/>
          <w:noProof/>
          <w:sz w:val="24"/>
        </w:rPr>
        <w:t xml:space="preserve"> v </w:t>
      </w:r>
      <w:r>
        <w:rPr>
          <w:rFonts w:ascii="Times New Roman" w:hAnsi="Times New Roman"/>
          <w:noProof/>
          <w:sz w:val="24"/>
        </w:rPr>
        <w:t>pracovnom dokumente útvarov Komisie [SWD(2023) 75], ktorý je sprievodným dokumentom</w:t>
      </w:r>
      <w:r w:rsidR="008C064E">
        <w:rPr>
          <w:rFonts w:ascii="Times New Roman" w:hAnsi="Times New Roman"/>
          <w:noProof/>
          <w:sz w:val="24"/>
        </w:rPr>
        <w:t xml:space="preserve"> k </w:t>
      </w:r>
      <w:r>
        <w:rPr>
          <w:rFonts w:ascii="Times New Roman" w:hAnsi="Times New Roman"/>
          <w:noProof/>
          <w:sz w:val="24"/>
        </w:rPr>
        <w:t>tejto správe.</w:t>
      </w:r>
    </w:p>
    <w:p w14:paraId="263FF580" w14:textId="2422AD91" w:rsidR="00B37707" w:rsidRDefault="007E411C" w:rsidP="00B37707">
      <w:pPr>
        <w:jc w:val="both"/>
        <w:rPr>
          <w:rFonts w:ascii="Times New Roman" w:hAnsi="Times New Roman" w:cs="Times New Roman"/>
          <w:noProof/>
          <w:sz w:val="24"/>
          <w:szCs w:val="24"/>
        </w:rPr>
      </w:pPr>
      <w:r>
        <w:rPr>
          <w:rFonts w:ascii="Times New Roman" w:hAnsi="Times New Roman"/>
          <w:noProof/>
          <w:sz w:val="24"/>
        </w:rPr>
        <w:t>Na základe prvého preskúmania sa zistilo najmä to, že rámce EÚ</w:t>
      </w:r>
      <w:r w:rsidR="008C064E">
        <w:rPr>
          <w:rFonts w:ascii="Times New Roman" w:hAnsi="Times New Roman"/>
          <w:noProof/>
          <w:sz w:val="24"/>
        </w:rPr>
        <w:t xml:space="preserve"> a </w:t>
      </w:r>
      <w:r>
        <w:rPr>
          <w:rFonts w:ascii="Times New Roman" w:hAnsi="Times New Roman"/>
          <w:noProof/>
          <w:sz w:val="24"/>
        </w:rPr>
        <w:t>Japonska</w:t>
      </w:r>
      <w:r w:rsidR="008C064E">
        <w:rPr>
          <w:rFonts w:ascii="Times New Roman" w:hAnsi="Times New Roman"/>
          <w:noProof/>
          <w:sz w:val="24"/>
        </w:rPr>
        <w:t xml:space="preserve"> v </w:t>
      </w:r>
      <w:r>
        <w:rPr>
          <w:rFonts w:ascii="Times New Roman" w:hAnsi="Times New Roman"/>
          <w:noProof/>
          <w:sz w:val="24"/>
        </w:rPr>
        <w:t>oblasti ochrany údajov sa od prijatia rozhodnutí</w:t>
      </w:r>
      <w:r w:rsidR="008C064E">
        <w:rPr>
          <w:rFonts w:ascii="Times New Roman" w:hAnsi="Times New Roman"/>
          <w:noProof/>
          <w:sz w:val="24"/>
        </w:rPr>
        <w:t xml:space="preserve"> o </w:t>
      </w:r>
      <w:r>
        <w:rPr>
          <w:rFonts w:ascii="Times New Roman" w:hAnsi="Times New Roman"/>
          <w:noProof/>
          <w:sz w:val="24"/>
        </w:rPr>
        <w:t>vzájomnej primeranosti ďalej zbližujú. Zákon APPI bol dvakrát novelizovaný: dňa 5. júna 2020 prostredníctvom novely zákona</w:t>
      </w:r>
      <w:r w:rsidR="008C064E">
        <w:rPr>
          <w:rFonts w:ascii="Times New Roman" w:hAnsi="Times New Roman"/>
          <w:noProof/>
          <w:sz w:val="24"/>
        </w:rPr>
        <w:t xml:space="preserve"> o </w:t>
      </w:r>
      <w:r>
        <w:rPr>
          <w:rFonts w:ascii="Times New Roman" w:hAnsi="Times New Roman"/>
          <w:noProof/>
          <w:sz w:val="24"/>
        </w:rPr>
        <w:t>ochrane osobných informácií</w:t>
      </w:r>
      <w:r w:rsidR="008C064E">
        <w:rPr>
          <w:rFonts w:ascii="Times New Roman" w:hAnsi="Times New Roman"/>
          <w:noProof/>
          <w:sz w:val="24"/>
        </w:rPr>
        <w:t xml:space="preserve"> z </w:t>
      </w:r>
      <w:r>
        <w:rPr>
          <w:rFonts w:ascii="Times New Roman" w:hAnsi="Times New Roman"/>
          <w:noProof/>
          <w:sz w:val="24"/>
        </w:rPr>
        <w:t>roku 2020 (novela zákona APPI</w:t>
      </w:r>
      <w:r w:rsidR="008C064E">
        <w:rPr>
          <w:rFonts w:ascii="Times New Roman" w:hAnsi="Times New Roman"/>
          <w:noProof/>
          <w:sz w:val="24"/>
        </w:rPr>
        <w:t xml:space="preserve"> z </w:t>
      </w:r>
      <w:r>
        <w:rPr>
          <w:rFonts w:ascii="Times New Roman" w:hAnsi="Times New Roman"/>
          <w:noProof/>
          <w:sz w:val="24"/>
        </w:rPr>
        <w:t>roku 2020), ktorá nadobudla účinnosť 1. apríla 2022</w:t>
      </w:r>
      <w:r>
        <w:rPr>
          <w:rStyle w:val="FootnoteReference"/>
          <w:rFonts w:ascii="Times New Roman" w:hAnsi="Times New Roman" w:cs="Times New Roman"/>
          <w:noProof/>
          <w:sz w:val="24"/>
          <w:szCs w:val="24"/>
          <w:lang w:val="en-IE"/>
        </w:rPr>
        <w:footnoteReference w:id="18"/>
      </w:r>
      <w:r w:rsidR="008C064E">
        <w:rPr>
          <w:rFonts w:ascii="Times New Roman" w:hAnsi="Times New Roman"/>
          <w:noProof/>
          <w:sz w:val="24"/>
        </w:rPr>
        <w:t xml:space="preserve"> a </w:t>
      </w:r>
      <w:r>
        <w:rPr>
          <w:rFonts w:ascii="Times New Roman" w:hAnsi="Times New Roman"/>
          <w:noProof/>
          <w:sz w:val="24"/>
        </w:rPr>
        <w:t xml:space="preserve">12. mája 2021 prostredníctvom </w:t>
      </w:r>
      <w:r>
        <w:rPr>
          <w:rFonts w:ascii="Times New Roman" w:hAnsi="Times New Roman"/>
          <w:i/>
          <w:noProof/>
          <w:sz w:val="24"/>
        </w:rPr>
        <w:t>zákona</w:t>
      </w:r>
      <w:r w:rsidR="008C064E">
        <w:rPr>
          <w:rFonts w:ascii="Times New Roman" w:hAnsi="Times New Roman"/>
          <w:i/>
          <w:noProof/>
          <w:sz w:val="24"/>
        </w:rPr>
        <w:t xml:space="preserve"> o </w:t>
      </w:r>
      <w:r>
        <w:rPr>
          <w:rFonts w:ascii="Times New Roman" w:hAnsi="Times New Roman"/>
          <w:i/>
          <w:noProof/>
          <w:sz w:val="24"/>
        </w:rPr>
        <w:t>dohode</w:t>
      </w:r>
      <w:r w:rsidR="008C064E">
        <w:rPr>
          <w:rFonts w:ascii="Times New Roman" w:hAnsi="Times New Roman"/>
          <w:i/>
          <w:noProof/>
          <w:sz w:val="24"/>
        </w:rPr>
        <w:t xml:space="preserve"> o </w:t>
      </w:r>
      <w:r>
        <w:rPr>
          <w:rFonts w:ascii="Times New Roman" w:hAnsi="Times New Roman"/>
          <w:i/>
          <w:noProof/>
          <w:sz w:val="24"/>
        </w:rPr>
        <w:t>súvisiacich zákonoch na vytvorenie digitálnej spoločnosti</w:t>
      </w:r>
      <w:r>
        <w:rPr>
          <w:rFonts w:ascii="Times New Roman" w:hAnsi="Times New Roman"/>
          <w:noProof/>
          <w:sz w:val="24"/>
        </w:rPr>
        <w:t xml:space="preserve"> (novela zákona APPI</w:t>
      </w:r>
      <w:r w:rsidR="008C064E">
        <w:rPr>
          <w:rFonts w:ascii="Times New Roman" w:hAnsi="Times New Roman"/>
          <w:noProof/>
          <w:sz w:val="24"/>
        </w:rPr>
        <w:t xml:space="preserve"> z </w:t>
      </w:r>
      <w:r>
        <w:rPr>
          <w:rFonts w:ascii="Times New Roman" w:hAnsi="Times New Roman"/>
          <w:noProof/>
          <w:sz w:val="24"/>
        </w:rPr>
        <w:t>roku 2021)</w:t>
      </w:r>
      <w:r>
        <w:rPr>
          <w:rStyle w:val="FootnoteReference"/>
          <w:rFonts w:ascii="Times New Roman" w:hAnsi="Times New Roman" w:cs="Times New Roman"/>
          <w:noProof/>
          <w:sz w:val="24"/>
          <w:szCs w:val="24"/>
          <w:lang w:val="en-IE"/>
        </w:rPr>
        <w:footnoteReference w:id="19"/>
      </w:r>
      <w:r>
        <w:rPr>
          <w:rFonts w:ascii="Times New Roman" w:hAnsi="Times New Roman"/>
          <w:noProof/>
          <w:sz w:val="24"/>
        </w:rPr>
        <w:t>. Doplňujúce pravidlá sa na základe konzultácie</w:t>
      </w:r>
      <w:r w:rsidR="008C064E">
        <w:rPr>
          <w:rFonts w:ascii="Times New Roman" w:hAnsi="Times New Roman"/>
          <w:noProof/>
          <w:sz w:val="24"/>
        </w:rPr>
        <w:t xml:space="preserve"> s </w:t>
      </w:r>
      <w:r>
        <w:rPr>
          <w:rFonts w:ascii="Times New Roman" w:hAnsi="Times New Roman"/>
          <w:noProof/>
          <w:sz w:val="24"/>
        </w:rPr>
        <w:t>Komisiou prispôsobili tak, aby tieto zmeny zohľadňovali.</w:t>
      </w:r>
    </w:p>
    <w:p w14:paraId="654BE334" w14:textId="1C5B5229" w:rsidR="001B0AE9" w:rsidRDefault="00B37707" w:rsidP="00B37707">
      <w:pPr>
        <w:jc w:val="both"/>
        <w:rPr>
          <w:rFonts w:ascii="Times New Roman" w:hAnsi="Times New Roman" w:cs="Times New Roman"/>
          <w:noProof/>
          <w:sz w:val="24"/>
          <w:szCs w:val="24"/>
        </w:rPr>
      </w:pPr>
      <w:r>
        <w:rPr>
          <w:rFonts w:ascii="Times New Roman" w:hAnsi="Times New Roman"/>
          <w:noProof/>
          <w:sz w:val="24"/>
        </w:rPr>
        <w:t>Tieto novely ešte viac zblížili systémy EÚ</w:t>
      </w:r>
      <w:r w:rsidR="008C064E">
        <w:rPr>
          <w:rFonts w:ascii="Times New Roman" w:hAnsi="Times New Roman"/>
          <w:noProof/>
          <w:sz w:val="24"/>
        </w:rPr>
        <w:t xml:space="preserve"> a </w:t>
      </w:r>
      <w:r>
        <w:rPr>
          <w:rFonts w:ascii="Times New Roman" w:hAnsi="Times New Roman"/>
          <w:noProof/>
          <w:sz w:val="24"/>
        </w:rPr>
        <w:t>Japonska, najmä posilnením povinností</w:t>
      </w:r>
      <w:r w:rsidR="008C064E">
        <w:rPr>
          <w:rFonts w:ascii="Times New Roman" w:hAnsi="Times New Roman"/>
          <w:noProof/>
          <w:sz w:val="24"/>
        </w:rPr>
        <w:t xml:space="preserve"> v </w:t>
      </w:r>
      <w:r>
        <w:rPr>
          <w:rFonts w:ascii="Times New Roman" w:hAnsi="Times New Roman"/>
          <w:noProof/>
          <w:sz w:val="24"/>
        </w:rPr>
        <w:t>oblasti bezpečnosti údajov (zavedením povinnosti oznamovať porušenia ochrany údajov), práv dotknutých osôb (konkrétne práva prístupu</w:t>
      </w:r>
      <w:r w:rsidR="008C064E">
        <w:rPr>
          <w:rFonts w:ascii="Times New Roman" w:hAnsi="Times New Roman"/>
          <w:noProof/>
          <w:sz w:val="24"/>
        </w:rPr>
        <w:t xml:space="preserve"> a </w:t>
      </w:r>
      <w:r>
        <w:rPr>
          <w:rFonts w:ascii="Times New Roman" w:hAnsi="Times New Roman"/>
          <w:noProof/>
          <w:sz w:val="24"/>
        </w:rPr>
        <w:t>práva namietať)</w:t>
      </w:r>
      <w:r w:rsidR="008C064E">
        <w:rPr>
          <w:rFonts w:ascii="Times New Roman" w:hAnsi="Times New Roman"/>
          <w:noProof/>
          <w:sz w:val="24"/>
        </w:rPr>
        <w:t xml:space="preserve"> a </w:t>
      </w:r>
      <w:r>
        <w:rPr>
          <w:rFonts w:ascii="Times New Roman" w:hAnsi="Times New Roman"/>
          <w:noProof/>
          <w:sz w:val="24"/>
        </w:rPr>
        <w:t>ochrany poskytovanej</w:t>
      </w:r>
      <w:r w:rsidR="008C064E">
        <w:rPr>
          <w:rFonts w:ascii="Times New Roman" w:hAnsi="Times New Roman"/>
          <w:noProof/>
          <w:sz w:val="24"/>
        </w:rPr>
        <w:t xml:space="preserve"> v </w:t>
      </w:r>
      <w:r>
        <w:rPr>
          <w:rFonts w:ascii="Times New Roman" w:hAnsi="Times New Roman"/>
          <w:noProof/>
          <w:sz w:val="24"/>
        </w:rPr>
        <w:t>prípade prenosu údajov (vo forme doplňujúcich informácií</w:t>
      </w:r>
      <w:r w:rsidR="008C064E">
        <w:rPr>
          <w:rFonts w:ascii="Times New Roman" w:hAnsi="Times New Roman"/>
          <w:noProof/>
          <w:sz w:val="24"/>
        </w:rPr>
        <w:t xml:space="preserve"> a </w:t>
      </w:r>
      <w:r>
        <w:rPr>
          <w:rFonts w:ascii="Times New Roman" w:hAnsi="Times New Roman"/>
          <w:noProof/>
          <w:sz w:val="24"/>
        </w:rPr>
        <w:t>požiadaviek na monitorovanie vrátane informácií</w:t>
      </w:r>
      <w:r w:rsidR="008C064E">
        <w:rPr>
          <w:rFonts w:ascii="Times New Roman" w:hAnsi="Times New Roman"/>
          <w:noProof/>
          <w:sz w:val="24"/>
        </w:rPr>
        <w:t xml:space="preserve"> o </w:t>
      </w:r>
      <w:r>
        <w:rPr>
          <w:rFonts w:ascii="Times New Roman" w:hAnsi="Times New Roman"/>
          <w:noProof/>
          <w:sz w:val="24"/>
        </w:rPr>
        <w:t>možných rizikách týkajúcich sa prístupu vlády</w:t>
      </w:r>
      <w:r w:rsidR="008C064E">
        <w:rPr>
          <w:rFonts w:ascii="Times New Roman" w:hAnsi="Times New Roman"/>
          <w:noProof/>
          <w:sz w:val="24"/>
        </w:rPr>
        <w:t xml:space="preserve"> v </w:t>
      </w:r>
      <w:r>
        <w:rPr>
          <w:rFonts w:ascii="Times New Roman" w:hAnsi="Times New Roman"/>
          <w:noProof/>
          <w:sz w:val="24"/>
        </w:rPr>
        <w:t>krajine učenia).</w:t>
      </w:r>
      <w:r w:rsidR="008C064E">
        <w:rPr>
          <w:rFonts w:ascii="Times New Roman" w:hAnsi="Times New Roman"/>
          <w:noProof/>
          <w:sz w:val="24"/>
        </w:rPr>
        <w:t xml:space="preserve"> V </w:t>
      </w:r>
      <w:r>
        <w:rPr>
          <w:rFonts w:ascii="Times New Roman" w:hAnsi="Times New Roman"/>
          <w:noProof/>
          <w:sz w:val="24"/>
        </w:rPr>
        <w:t>tomto kontexte stojí osobitne za pozornosť, že niektoré dodatočné záruky poskytnuté na základe doplňujúcich pravidiel</w:t>
      </w:r>
      <w:r w:rsidR="008C064E">
        <w:rPr>
          <w:rFonts w:ascii="Times New Roman" w:hAnsi="Times New Roman"/>
          <w:noProof/>
          <w:sz w:val="24"/>
        </w:rPr>
        <w:t xml:space="preserve"> v </w:t>
      </w:r>
      <w:r>
        <w:rPr>
          <w:rFonts w:ascii="Times New Roman" w:hAnsi="Times New Roman"/>
          <w:noProof/>
          <w:sz w:val="24"/>
        </w:rPr>
        <w:t>súvislosti</w:t>
      </w:r>
      <w:r w:rsidR="008C064E">
        <w:rPr>
          <w:rFonts w:ascii="Times New Roman" w:hAnsi="Times New Roman"/>
          <w:noProof/>
          <w:sz w:val="24"/>
        </w:rPr>
        <w:t xml:space="preserve"> s </w:t>
      </w:r>
      <w:r>
        <w:rPr>
          <w:rFonts w:ascii="Times New Roman" w:hAnsi="Times New Roman"/>
          <w:noProof/>
          <w:sz w:val="24"/>
        </w:rPr>
        <w:t>osobnými údajmi prichádzajúcimi</w:t>
      </w:r>
      <w:r w:rsidR="008C064E">
        <w:rPr>
          <w:rFonts w:ascii="Times New Roman" w:hAnsi="Times New Roman"/>
          <w:noProof/>
          <w:sz w:val="24"/>
        </w:rPr>
        <w:t xml:space="preserve"> z </w:t>
      </w:r>
      <w:r>
        <w:rPr>
          <w:rFonts w:ascii="Times New Roman" w:hAnsi="Times New Roman"/>
          <w:noProof/>
          <w:sz w:val="24"/>
        </w:rPr>
        <w:t>EÚ, t. j.</w:t>
      </w:r>
      <w:r w:rsidR="008C064E">
        <w:rPr>
          <w:rFonts w:ascii="Times New Roman" w:hAnsi="Times New Roman"/>
          <w:noProof/>
          <w:sz w:val="24"/>
        </w:rPr>
        <w:t xml:space="preserve"> v </w:t>
      </w:r>
      <w:r>
        <w:rPr>
          <w:rFonts w:ascii="Times New Roman" w:hAnsi="Times New Roman"/>
          <w:noProof/>
          <w:sz w:val="24"/>
        </w:rPr>
        <w:t>súvislosti</w:t>
      </w:r>
      <w:r w:rsidR="008C064E">
        <w:rPr>
          <w:rFonts w:ascii="Times New Roman" w:hAnsi="Times New Roman"/>
          <w:noProof/>
          <w:sz w:val="24"/>
        </w:rPr>
        <w:t xml:space="preserve"> s </w:t>
      </w:r>
      <w:r>
        <w:rPr>
          <w:rFonts w:ascii="Times New Roman" w:hAnsi="Times New Roman"/>
          <w:noProof/>
          <w:sz w:val="24"/>
        </w:rPr>
        <w:t>uchovávaním údajov</w:t>
      </w:r>
      <w:r w:rsidR="008C064E">
        <w:rPr>
          <w:rFonts w:ascii="Times New Roman" w:hAnsi="Times New Roman"/>
          <w:noProof/>
          <w:sz w:val="24"/>
        </w:rPr>
        <w:t xml:space="preserve"> a </w:t>
      </w:r>
      <w:r>
        <w:rPr>
          <w:rFonts w:ascii="Times New Roman" w:hAnsi="Times New Roman"/>
          <w:noProof/>
          <w:sz w:val="24"/>
        </w:rPr>
        <w:t>podmienkami udelenia informovaného súhlasu</w:t>
      </w:r>
      <w:r w:rsidR="008C064E">
        <w:rPr>
          <w:rFonts w:ascii="Times New Roman" w:hAnsi="Times New Roman"/>
          <w:noProof/>
          <w:sz w:val="24"/>
        </w:rPr>
        <w:t xml:space="preserve"> v </w:t>
      </w:r>
      <w:r>
        <w:rPr>
          <w:rFonts w:ascii="Times New Roman" w:hAnsi="Times New Roman"/>
          <w:noProof/>
          <w:sz w:val="24"/>
        </w:rPr>
        <w:t>prípade cezhraničného prenosu, boli začlenené do zákona APPI, čím sa stali všeobecne uplatniteľnými na všetky osobné údaje, bez ohľadu na ich pôvod alebo miesto zberu</w:t>
      </w:r>
      <w:r>
        <w:rPr>
          <w:rStyle w:val="FootnoteReference"/>
          <w:rFonts w:ascii="Times New Roman" w:hAnsi="Times New Roman" w:cs="Times New Roman"/>
          <w:noProof/>
          <w:sz w:val="24"/>
          <w:szCs w:val="24"/>
          <w:lang w:val="en-IE"/>
        </w:rPr>
        <w:footnoteReference w:id="20"/>
      </w:r>
      <w:r>
        <w:rPr>
          <w:rFonts w:ascii="Times New Roman" w:hAnsi="Times New Roman"/>
          <w:noProof/>
          <w:sz w:val="24"/>
        </w:rPr>
        <w:t xml:space="preserve">. </w:t>
      </w:r>
    </w:p>
    <w:p w14:paraId="360D09EA" w14:textId="051C30FD" w:rsidR="00B37707" w:rsidRPr="001B0AE9" w:rsidRDefault="00B37707" w:rsidP="00B37707">
      <w:pPr>
        <w:jc w:val="both"/>
        <w:rPr>
          <w:rFonts w:ascii="Times New Roman" w:hAnsi="Times New Roman" w:cs="Times New Roman"/>
          <w:noProof/>
          <w:sz w:val="24"/>
          <w:szCs w:val="24"/>
        </w:rPr>
      </w:pPr>
      <w:r>
        <w:rPr>
          <w:rFonts w:ascii="Times New Roman" w:hAnsi="Times New Roman"/>
          <w:noProof/>
          <w:sz w:val="24"/>
        </w:rPr>
        <w:t>Ďalším kľúčovým vývojom, ktorý Komisia víta, je transformácia zákona APPI na komplexný rámec</w:t>
      </w:r>
      <w:r w:rsidR="008C064E">
        <w:rPr>
          <w:rFonts w:ascii="Times New Roman" w:hAnsi="Times New Roman"/>
          <w:noProof/>
          <w:sz w:val="24"/>
        </w:rPr>
        <w:t xml:space="preserve"> v </w:t>
      </w:r>
      <w:r>
        <w:rPr>
          <w:rFonts w:ascii="Times New Roman" w:hAnsi="Times New Roman"/>
          <w:noProof/>
          <w:sz w:val="24"/>
        </w:rPr>
        <w:t>oblasti ochrany údajov, ktorý sa vzťahuje na súkromný aj verejný sektor na základe výlučného dohľadu zo strany Komisie pre ochranu osobných informácií</w:t>
      </w:r>
      <w:r>
        <w:rPr>
          <w:rStyle w:val="FootnoteReference"/>
          <w:rFonts w:ascii="Times New Roman" w:hAnsi="Times New Roman" w:cs="Times New Roman"/>
          <w:noProof/>
          <w:sz w:val="24"/>
          <w:szCs w:val="24"/>
          <w:lang w:val="en-IE"/>
        </w:rPr>
        <w:footnoteReference w:id="21"/>
      </w:r>
      <w:r>
        <w:rPr>
          <w:rFonts w:ascii="Times New Roman" w:hAnsi="Times New Roman"/>
          <w:noProof/>
          <w:sz w:val="24"/>
        </w:rPr>
        <w:t>. Toto ďalšie posilňovanie japonského rámca</w:t>
      </w:r>
      <w:r w:rsidR="008C064E">
        <w:rPr>
          <w:rFonts w:ascii="Times New Roman" w:hAnsi="Times New Roman"/>
          <w:noProof/>
          <w:sz w:val="24"/>
        </w:rPr>
        <w:t xml:space="preserve"> v </w:t>
      </w:r>
      <w:r>
        <w:rPr>
          <w:rFonts w:ascii="Times New Roman" w:hAnsi="Times New Roman"/>
          <w:noProof/>
          <w:sz w:val="24"/>
        </w:rPr>
        <w:t>oblasti ochrany údajov</w:t>
      </w:r>
      <w:r w:rsidR="008C064E">
        <w:rPr>
          <w:rFonts w:ascii="Times New Roman" w:hAnsi="Times New Roman"/>
          <w:noProof/>
          <w:sz w:val="24"/>
        </w:rPr>
        <w:t xml:space="preserve"> a </w:t>
      </w:r>
      <w:r>
        <w:rPr>
          <w:rFonts w:ascii="Times New Roman" w:hAnsi="Times New Roman"/>
          <w:noProof/>
          <w:sz w:val="24"/>
        </w:rPr>
        <w:t>právomocí Komisie pre ochranu osobných informácií môže vytvoriť priestor na rozšírenie rozhodnutia</w:t>
      </w:r>
      <w:r w:rsidR="008C064E">
        <w:rPr>
          <w:rFonts w:ascii="Times New Roman" w:hAnsi="Times New Roman"/>
          <w:noProof/>
          <w:sz w:val="24"/>
        </w:rPr>
        <w:t xml:space="preserve"> o </w:t>
      </w:r>
      <w:r>
        <w:rPr>
          <w:rFonts w:ascii="Times New Roman" w:hAnsi="Times New Roman"/>
          <w:noProof/>
          <w:sz w:val="24"/>
        </w:rPr>
        <w:t>primeranosti nad rámec obchodných výmen tak, aby sa vzťahoval aj na prenosy údajov, ktoré sú</w:t>
      </w:r>
      <w:r w:rsidR="008C064E">
        <w:rPr>
          <w:rFonts w:ascii="Times New Roman" w:hAnsi="Times New Roman"/>
          <w:noProof/>
          <w:sz w:val="24"/>
        </w:rPr>
        <w:t xml:space="preserve"> v </w:t>
      </w:r>
      <w:r>
        <w:rPr>
          <w:rFonts w:ascii="Times New Roman" w:hAnsi="Times New Roman"/>
          <w:noProof/>
          <w:sz w:val="24"/>
        </w:rPr>
        <w:t>súčasnosti vylúčené</w:t>
      </w:r>
      <w:r w:rsidR="008C064E">
        <w:rPr>
          <w:rFonts w:ascii="Times New Roman" w:hAnsi="Times New Roman"/>
          <w:noProof/>
          <w:sz w:val="24"/>
        </w:rPr>
        <w:t xml:space="preserve"> z </w:t>
      </w:r>
      <w:r>
        <w:rPr>
          <w:rFonts w:ascii="Times New Roman" w:hAnsi="Times New Roman"/>
          <w:noProof/>
          <w:sz w:val="24"/>
        </w:rPr>
        <w:t>rozsahu jeho pôsobnosti, napr.</w:t>
      </w:r>
      <w:r w:rsidR="008C064E">
        <w:rPr>
          <w:rFonts w:ascii="Times New Roman" w:hAnsi="Times New Roman"/>
          <w:noProof/>
          <w:sz w:val="24"/>
        </w:rPr>
        <w:t xml:space="preserve"> v </w:t>
      </w:r>
      <w:r>
        <w:rPr>
          <w:rFonts w:ascii="Times New Roman" w:hAnsi="Times New Roman"/>
          <w:noProof/>
          <w:sz w:val="24"/>
        </w:rPr>
        <w:t>oblasti regulačnej spolupráce</w:t>
      </w:r>
      <w:r w:rsidR="008C064E">
        <w:rPr>
          <w:rFonts w:ascii="Times New Roman" w:hAnsi="Times New Roman"/>
          <w:noProof/>
          <w:sz w:val="24"/>
        </w:rPr>
        <w:t xml:space="preserve"> a </w:t>
      </w:r>
      <w:r>
        <w:rPr>
          <w:rFonts w:ascii="Times New Roman" w:hAnsi="Times New Roman"/>
          <w:noProof/>
          <w:sz w:val="24"/>
        </w:rPr>
        <w:t xml:space="preserve">výskumu. </w:t>
      </w:r>
    </w:p>
    <w:p w14:paraId="50505F85" w14:textId="64590AD8" w:rsidR="003743B7" w:rsidRDefault="0060618E" w:rsidP="001D2022">
      <w:pPr>
        <w:jc w:val="both"/>
        <w:rPr>
          <w:rFonts w:ascii="Times New Roman" w:hAnsi="Times New Roman" w:cs="Times New Roman"/>
          <w:noProof/>
          <w:sz w:val="24"/>
          <w:szCs w:val="24"/>
        </w:rPr>
      </w:pPr>
      <w:r>
        <w:rPr>
          <w:rFonts w:ascii="Times New Roman" w:hAnsi="Times New Roman"/>
          <w:noProof/>
          <w:sz w:val="24"/>
        </w:rPr>
        <w:t>Prvé preskúmanie sa sústredilo aj na nové pravidlá týkajúce sa vytvárania</w:t>
      </w:r>
      <w:r w:rsidR="008C064E">
        <w:rPr>
          <w:rFonts w:ascii="Times New Roman" w:hAnsi="Times New Roman"/>
          <w:noProof/>
          <w:sz w:val="24"/>
        </w:rPr>
        <w:t xml:space="preserve"> a </w:t>
      </w:r>
      <w:r>
        <w:rPr>
          <w:rFonts w:ascii="Times New Roman" w:hAnsi="Times New Roman"/>
          <w:noProof/>
          <w:sz w:val="24"/>
        </w:rPr>
        <w:t>používania „pseudonymizovaných osobných informácií“, ktoré boli zavedené</w:t>
      </w:r>
      <w:r w:rsidR="008C064E">
        <w:rPr>
          <w:rFonts w:ascii="Times New Roman" w:hAnsi="Times New Roman"/>
          <w:noProof/>
          <w:sz w:val="24"/>
        </w:rPr>
        <w:t xml:space="preserve"> v </w:t>
      </w:r>
      <w:r>
        <w:rPr>
          <w:rFonts w:ascii="Times New Roman" w:hAnsi="Times New Roman"/>
          <w:noProof/>
          <w:sz w:val="24"/>
        </w:rPr>
        <w:t>novele zákona APPI</w:t>
      </w:r>
      <w:r w:rsidR="008C064E">
        <w:rPr>
          <w:rFonts w:ascii="Times New Roman" w:hAnsi="Times New Roman"/>
          <w:noProof/>
          <w:sz w:val="24"/>
        </w:rPr>
        <w:t xml:space="preserve"> z </w:t>
      </w:r>
      <w:r>
        <w:rPr>
          <w:rFonts w:ascii="Times New Roman" w:hAnsi="Times New Roman"/>
          <w:noProof/>
          <w:sz w:val="24"/>
        </w:rPr>
        <w:t>roku 2020</w:t>
      </w:r>
      <w:r>
        <w:rPr>
          <w:rStyle w:val="FootnoteReference"/>
          <w:rFonts w:ascii="Times New Roman" w:hAnsi="Times New Roman" w:cs="Times New Roman"/>
          <w:bCs/>
          <w:iCs/>
          <w:noProof/>
          <w:sz w:val="24"/>
          <w:szCs w:val="24"/>
          <w:lang w:val="en-IE"/>
        </w:rPr>
        <w:footnoteReference w:id="22"/>
      </w:r>
      <w:r>
        <w:rPr>
          <w:rFonts w:ascii="Times New Roman" w:hAnsi="Times New Roman"/>
          <w:noProof/>
          <w:sz w:val="24"/>
        </w:rPr>
        <w:t>. Cieľom týchto nových pravidiel je</w:t>
      </w:r>
      <w:r w:rsidR="008C064E">
        <w:rPr>
          <w:rFonts w:ascii="Times New Roman" w:hAnsi="Times New Roman"/>
          <w:noProof/>
          <w:sz w:val="24"/>
        </w:rPr>
        <w:t xml:space="preserve"> v </w:t>
      </w:r>
      <w:r>
        <w:rPr>
          <w:rFonts w:ascii="Times New Roman" w:hAnsi="Times New Roman"/>
          <w:noProof/>
          <w:sz w:val="24"/>
        </w:rPr>
        <w:t>podstate uľahčiť (vnútorné) používanie osobných informácií podnikmi, ktoré nakladajú</w:t>
      </w:r>
      <w:r w:rsidR="008C064E">
        <w:rPr>
          <w:rFonts w:ascii="Times New Roman" w:hAnsi="Times New Roman"/>
          <w:noProof/>
          <w:sz w:val="24"/>
        </w:rPr>
        <w:t xml:space="preserve"> s </w:t>
      </w:r>
      <w:r>
        <w:rPr>
          <w:rFonts w:ascii="Times New Roman" w:hAnsi="Times New Roman"/>
          <w:noProof/>
          <w:sz w:val="24"/>
        </w:rPr>
        <w:t>osobnými informáciami</w:t>
      </w:r>
      <w:r w:rsidR="008C064E">
        <w:rPr>
          <w:rFonts w:ascii="Times New Roman" w:hAnsi="Times New Roman"/>
          <w:noProof/>
          <w:sz w:val="24"/>
        </w:rPr>
        <w:t xml:space="preserve"> v </w:t>
      </w:r>
      <w:r>
        <w:rPr>
          <w:rFonts w:ascii="Times New Roman" w:hAnsi="Times New Roman"/>
          <w:noProof/>
          <w:sz w:val="24"/>
        </w:rPr>
        <w:t>zásade na štatistické účely (napr. na identifikovanie trendov</w:t>
      </w:r>
      <w:r w:rsidR="008C064E">
        <w:rPr>
          <w:rFonts w:ascii="Times New Roman" w:hAnsi="Times New Roman"/>
          <w:noProof/>
          <w:sz w:val="24"/>
        </w:rPr>
        <w:t xml:space="preserve"> a </w:t>
      </w:r>
      <w:r>
        <w:rPr>
          <w:rFonts w:ascii="Times New Roman" w:hAnsi="Times New Roman"/>
          <w:noProof/>
          <w:sz w:val="24"/>
        </w:rPr>
        <w:t>vzorcov</w:t>
      </w:r>
      <w:r w:rsidR="008C064E">
        <w:rPr>
          <w:rFonts w:ascii="Times New Roman" w:hAnsi="Times New Roman"/>
          <w:noProof/>
          <w:sz w:val="24"/>
        </w:rPr>
        <w:t xml:space="preserve"> s </w:t>
      </w:r>
      <w:r>
        <w:rPr>
          <w:rFonts w:ascii="Times New Roman" w:hAnsi="Times New Roman"/>
          <w:noProof/>
          <w:sz w:val="24"/>
        </w:rPr>
        <w:t>cieľom získať prínos pre ďalšie činnosti vrátane výskumu). Stretnutie zamerané na preskúmanie</w:t>
      </w:r>
      <w:r w:rsidR="008C064E">
        <w:rPr>
          <w:rFonts w:ascii="Times New Roman" w:hAnsi="Times New Roman"/>
          <w:noProof/>
          <w:sz w:val="24"/>
        </w:rPr>
        <w:t xml:space="preserve"> a </w:t>
      </w:r>
      <w:r>
        <w:rPr>
          <w:rFonts w:ascii="Times New Roman" w:hAnsi="Times New Roman"/>
          <w:noProof/>
          <w:sz w:val="24"/>
        </w:rPr>
        <w:t>následné výmeny názorov medzi Komisiou</w:t>
      </w:r>
      <w:r w:rsidR="008C064E">
        <w:rPr>
          <w:rFonts w:ascii="Times New Roman" w:hAnsi="Times New Roman"/>
          <w:noProof/>
          <w:sz w:val="24"/>
        </w:rPr>
        <w:t xml:space="preserve"> a </w:t>
      </w:r>
      <w:r>
        <w:rPr>
          <w:rFonts w:ascii="Times New Roman" w:hAnsi="Times New Roman"/>
          <w:noProof/>
          <w:sz w:val="24"/>
        </w:rPr>
        <w:t>Komisiou pre ochranu osobných informácií umožnili objasnenie výkladu</w:t>
      </w:r>
      <w:r w:rsidR="008C064E">
        <w:rPr>
          <w:rFonts w:ascii="Times New Roman" w:hAnsi="Times New Roman"/>
          <w:noProof/>
          <w:sz w:val="24"/>
        </w:rPr>
        <w:t xml:space="preserve"> a </w:t>
      </w:r>
      <w:r>
        <w:rPr>
          <w:rFonts w:ascii="Times New Roman" w:hAnsi="Times New Roman"/>
          <w:noProof/>
          <w:sz w:val="24"/>
        </w:rPr>
        <w:t>uplatňovania týchto nových ustanovení. Na základe týchto rozhovorov sa</w:t>
      </w:r>
      <w:r w:rsidR="008C064E">
        <w:rPr>
          <w:rFonts w:ascii="Times New Roman" w:hAnsi="Times New Roman"/>
          <w:noProof/>
          <w:sz w:val="24"/>
        </w:rPr>
        <w:t xml:space="preserve"> s </w:t>
      </w:r>
      <w:r>
        <w:rPr>
          <w:rFonts w:ascii="Times New Roman" w:hAnsi="Times New Roman"/>
          <w:noProof/>
          <w:sz w:val="24"/>
        </w:rPr>
        <w:t>cieľom jasnejšie zohľadniť zamýšľané uplatňovanie týchto nových ustanovení,</w:t>
      </w:r>
      <w:r w:rsidR="008C064E">
        <w:rPr>
          <w:rFonts w:ascii="Times New Roman" w:hAnsi="Times New Roman"/>
          <w:noProof/>
          <w:sz w:val="24"/>
        </w:rPr>
        <w:t xml:space="preserve"> a </w:t>
      </w:r>
      <w:r>
        <w:rPr>
          <w:rFonts w:ascii="Times New Roman" w:hAnsi="Times New Roman"/>
          <w:noProof/>
          <w:sz w:val="24"/>
        </w:rPr>
        <w:t>tak zabezpečiť právnu istotu</w:t>
      </w:r>
      <w:r w:rsidR="008C064E">
        <w:rPr>
          <w:rFonts w:ascii="Times New Roman" w:hAnsi="Times New Roman"/>
          <w:noProof/>
          <w:sz w:val="24"/>
        </w:rPr>
        <w:t xml:space="preserve"> a </w:t>
      </w:r>
      <w:r>
        <w:rPr>
          <w:rFonts w:ascii="Times New Roman" w:hAnsi="Times New Roman"/>
          <w:noProof/>
          <w:sz w:val="24"/>
        </w:rPr>
        <w:t>transparentnosť, 15. marca 2023 zmenili doplňujúce pravidlá dvojakým spôsobom</w:t>
      </w:r>
      <w:r>
        <w:rPr>
          <w:rStyle w:val="FootnoteReference"/>
          <w:rFonts w:ascii="Times New Roman" w:hAnsi="Times New Roman" w:cs="Times New Roman"/>
          <w:noProof/>
          <w:sz w:val="24"/>
          <w:szCs w:val="24"/>
          <w:lang w:val="en-IE"/>
        </w:rPr>
        <w:footnoteReference w:id="23"/>
      </w:r>
      <w:r>
        <w:rPr>
          <w:rFonts w:ascii="Times New Roman" w:hAnsi="Times New Roman"/>
          <w:noProof/>
          <w:sz w:val="24"/>
        </w:rPr>
        <w:t>. Po prvé</w:t>
      </w:r>
      <w:r w:rsidR="008C064E">
        <w:rPr>
          <w:rFonts w:ascii="Times New Roman" w:hAnsi="Times New Roman"/>
          <w:noProof/>
          <w:sz w:val="24"/>
        </w:rPr>
        <w:t xml:space="preserve"> v </w:t>
      </w:r>
      <w:r>
        <w:rPr>
          <w:rFonts w:ascii="Times New Roman" w:hAnsi="Times New Roman"/>
          <w:noProof/>
          <w:sz w:val="24"/>
        </w:rPr>
        <w:t>doplňujúcich pravidlách sa stanovuje, že takéto informácie možno používať len na štatistické účely – vymedzené ako spracúvanie na štatistické zisťovania alebo vytváranie štatistických výsledkov – na vytváranie súhrnných údajov, pričom výsledok spracúvania sa nepoužije na podporu opatrení ani rozhodnutí týkajúcich sa konkrétnej fyzickej osoby. Po druhé sa</w:t>
      </w:r>
      <w:r w:rsidR="008C064E">
        <w:rPr>
          <w:rFonts w:ascii="Times New Roman" w:hAnsi="Times New Roman"/>
          <w:noProof/>
          <w:sz w:val="24"/>
        </w:rPr>
        <w:t xml:space="preserve"> v </w:t>
      </w:r>
      <w:r>
        <w:rPr>
          <w:rFonts w:ascii="Times New Roman" w:hAnsi="Times New Roman"/>
          <w:noProof/>
          <w:sz w:val="24"/>
        </w:rPr>
        <w:t>nich jasne stanovuje, že pseudonymizované osobné informácie pôvodne prijaté</w:t>
      </w:r>
      <w:r w:rsidR="008C064E">
        <w:rPr>
          <w:rFonts w:ascii="Times New Roman" w:hAnsi="Times New Roman"/>
          <w:noProof/>
          <w:sz w:val="24"/>
        </w:rPr>
        <w:t xml:space="preserve"> z </w:t>
      </w:r>
      <w:r>
        <w:rPr>
          <w:rFonts w:ascii="Times New Roman" w:hAnsi="Times New Roman"/>
          <w:noProof/>
          <w:sz w:val="24"/>
        </w:rPr>
        <w:t>EÚ sa vždy budú považovať za „osobné informácie“ na základe zákona APPI, aby sa zabezpečilo, že nepretržitá ochrana údajov považovaných za osobné údaje podľa všeobecného nariadenia</w:t>
      </w:r>
      <w:r w:rsidR="008C064E">
        <w:rPr>
          <w:rFonts w:ascii="Times New Roman" w:hAnsi="Times New Roman"/>
          <w:noProof/>
          <w:sz w:val="24"/>
        </w:rPr>
        <w:t xml:space="preserve"> o </w:t>
      </w:r>
      <w:r>
        <w:rPr>
          <w:rFonts w:ascii="Times New Roman" w:hAnsi="Times New Roman"/>
          <w:noProof/>
          <w:sz w:val="24"/>
        </w:rPr>
        <w:t>ochrane údajov sa nenaruší prenosom údajov na základe rozhodnutia</w:t>
      </w:r>
      <w:r w:rsidR="008C064E">
        <w:rPr>
          <w:rFonts w:ascii="Times New Roman" w:hAnsi="Times New Roman"/>
          <w:noProof/>
          <w:sz w:val="24"/>
        </w:rPr>
        <w:t xml:space="preserve"> o </w:t>
      </w:r>
      <w:r>
        <w:rPr>
          <w:rFonts w:ascii="Times New Roman" w:hAnsi="Times New Roman"/>
          <w:noProof/>
          <w:sz w:val="24"/>
        </w:rPr>
        <w:t>primeranosti</w:t>
      </w:r>
      <w:r>
        <w:rPr>
          <w:rStyle w:val="FootnoteReference"/>
          <w:rFonts w:ascii="Times New Roman" w:hAnsi="Times New Roman" w:cs="Times New Roman"/>
          <w:noProof/>
          <w:sz w:val="24"/>
          <w:szCs w:val="24"/>
          <w:lang w:val="en-IE"/>
        </w:rPr>
        <w:footnoteReference w:id="24"/>
      </w:r>
      <w:r>
        <w:rPr>
          <w:rFonts w:ascii="Times New Roman" w:hAnsi="Times New Roman"/>
          <w:noProof/>
          <w:sz w:val="24"/>
        </w:rPr>
        <w:t xml:space="preserve">. </w:t>
      </w:r>
    </w:p>
    <w:p w14:paraId="41DFB5E6" w14:textId="2E2C2E58" w:rsidR="00BF4F96" w:rsidRDefault="007340FB" w:rsidP="00FC4AC0">
      <w:pPr>
        <w:jc w:val="both"/>
        <w:rPr>
          <w:rFonts w:ascii="Times New Roman" w:hAnsi="Times New Roman" w:cs="Times New Roman"/>
          <w:noProof/>
          <w:sz w:val="24"/>
          <w:szCs w:val="24"/>
        </w:rPr>
      </w:pPr>
      <w:r>
        <w:rPr>
          <w:rFonts w:ascii="Times New Roman" w:hAnsi="Times New Roman"/>
          <w:noProof/>
          <w:sz w:val="24"/>
        </w:rPr>
        <w:t>Pokiaľ ide</w:t>
      </w:r>
      <w:r w:rsidR="008C064E">
        <w:rPr>
          <w:rFonts w:ascii="Times New Roman" w:hAnsi="Times New Roman"/>
          <w:noProof/>
          <w:sz w:val="24"/>
        </w:rPr>
        <w:t xml:space="preserve"> o </w:t>
      </w:r>
      <w:r>
        <w:rPr>
          <w:rFonts w:ascii="Times New Roman" w:hAnsi="Times New Roman"/>
          <w:noProof/>
          <w:sz w:val="24"/>
        </w:rPr>
        <w:t>vykonávanie zavedených záruk</w:t>
      </w:r>
      <w:r w:rsidR="008C064E">
        <w:rPr>
          <w:rFonts w:ascii="Times New Roman" w:hAnsi="Times New Roman"/>
          <w:noProof/>
          <w:sz w:val="24"/>
        </w:rPr>
        <w:t xml:space="preserve"> v </w:t>
      </w:r>
      <w:r>
        <w:rPr>
          <w:rFonts w:ascii="Times New Roman" w:hAnsi="Times New Roman"/>
          <w:noProof/>
          <w:sz w:val="24"/>
        </w:rPr>
        <w:t>oblasti ochrany údajov, Komisia víta rozličné kroky vykonané zo strany Komisie pre ochranu osobných informácií, medzi ktoré patrí prijatie aktualizovaných usmernení vrátane usmernení týkajúcich sa medzinárodného prenosu údajov. Komisia poznamenáva, že tieto usmernenia by bolo možné objasniť tak, aby sa zaoberali aj osobitnými požiadavkami, ktoré sa na základe doplňujúcich pravidiel uplatňujú na následné prenosy osobných údajov</w:t>
      </w:r>
      <w:r w:rsidR="008C064E">
        <w:rPr>
          <w:rFonts w:ascii="Times New Roman" w:hAnsi="Times New Roman"/>
          <w:noProof/>
          <w:sz w:val="24"/>
        </w:rPr>
        <w:t xml:space="preserve"> z </w:t>
      </w:r>
      <w:r>
        <w:rPr>
          <w:rFonts w:ascii="Times New Roman" w:hAnsi="Times New Roman"/>
          <w:noProof/>
          <w:sz w:val="24"/>
        </w:rPr>
        <w:t>Japonska prijatých</w:t>
      </w:r>
      <w:r w:rsidR="008C064E">
        <w:rPr>
          <w:rFonts w:ascii="Times New Roman" w:hAnsi="Times New Roman"/>
          <w:noProof/>
          <w:sz w:val="24"/>
        </w:rPr>
        <w:t xml:space="preserve"> z </w:t>
      </w:r>
      <w:r>
        <w:rPr>
          <w:rFonts w:ascii="Times New Roman" w:hAnsi="Times New Roman"/>
          <w:noProof/>
          <w:sz w:val="24"/>
        </w:rPr>
        <w:t>EÚ vrátane vylúčenia následných prenosov na základe systému certifikácie pravidiel cezhraničnej ochrany súkromia</w:t>
      </w:r>
      <w:r w:rsidR="008C064E">
        <w:rPr>
          <w:rFonts w:ascii="Times New Roman" w:hAnsi="Times New Roman"/>
          <w:noProof/>
          <w:sz w:val="24"/>
        </w:rPr>
        <w:t xml:space="preserve"> v </w:t>
      </w:r>
      <w:r>
        <w:rPr>
          <w:rFonts w:ascii="Times New Roman" w:hAnsi="Times New Roman"/>
          <w:noProof/>
          <w:sz w:val="24"/>
        </w:rPr>
        <w:t>rámci Ázijsko-tichomorskej hospodárskej spolupráce, ako vyplýva</w:t>
      </w:r>
      <w:r w:rsidR="008C064E">
        <w:rPr>
          <w:rFonts w:ascii="Times New Roman" w:hAnsi="Times New Roman"/>
          <w:noProof/>
          <w:sz w:val="24"/>
        </w:rPr>
        <w:t xml:space="preserve"> z </w:t>
      </w:r>
      <w:r>
        <w:rPr>
          <w:rFonts w:ascii="Times New Roman" w:hAnsi="Times New Roman"/>
          <w:noProof/>
          <w:sz w:val="24"/>
        </w:rPr>
        <w:t>doplňujúceho pravidla 4</w:t>
      </w:r>
      <w:r w:rsidR="008C064E">
        <w:rPr>
          <w:rFonts w:ascii="Times New Roman" w:hAnsi="Times New Roman"/>
          <w:noProof/>
          <w:sz w:val="24"/>
        </w:rPr>
        <w:t xml:space="preserve"> a </w:t>
      </w:r>
      <w:r>
        <w:rPr>
          <w:rFonts w:ascii="Times New Roman" w:hAnsi="Times New Roman"/>
          <w:noProof/>
          <w:sz w:val="24"/>
        </w:rPr>
        <w:t>ako sa vysvetľuje</w:t>
      </w:r>
      <w:r w:rsidR="008C064E">
        <w:rPr>
          <w:rFonts w:ascii="Times New Roman" w:hAnsi="Times New Roman"/>
          <w:noProof/>
          <w:sz w:val="24"/>
        </w:rPr>
        <w:t xml:space="preserve"> v </w:t>
      </w:r>
      <w:r>
        <w:rPr>
          <w:rFonts w:ascii="Times New Roman" w:hAnsi="Times New Roman"/>
          <w:noProof/>
          <w:sz w:val="24"/>
        </w:rPr>
        <w:t>rozhodnutí</w:t>
      </w:r>
      <w:r w:rsidR="008C064E">
        <w:rPr>
          <w:rFonts w:ascii="Times New Roman" w:hAnsi="Times New Roman"/>
          <w:noProof/>
          <w:sz w:val="24"/>
        </w:rPr>
        <w:t xml:space="preserve"> o </w:t>
      </w:r>
      <w:r>
        <w:rPr>
          <w:rFonts w:ascii="Times New Roman" w:hAnsi="Times New Roman"/>
          <w:noProof/>
          <w:sz w:val="24"/>
        </w:rPr>
        <w:t>primeranosti</w:t>
      </w:r>
      <w:r>
        <w:rPr>
          <w:rStyle w:val="FootnoteReference"/>
          <w:rFonts w:ascii="Times New Roman" w:hAnsi="Times New Roman" w:cs="Times New Roman"/>
          <w:noProof/>
          <w:sz w:val="24"/>
          <w:szCs w:val="24"/>
          <w:lang w:val="en-IE"/>
        </w:rPr>
        <w:footnoteReference w:id="25"/>
      </w:r>
      <w:r>
        <w:rPr>
          <w:rFonts w:ascii="Times New Roman" w:hAnsi="Times New Roman"/>
          <w:noProof/>
          <w:sz w:val="24"/>
        </w:rPr>
        <w:t>. Okrem toho, hoci Komisia pre ochranu osobných informácií vysvetlila, že zúčastnené hospodárske subjekty nakladajúce</w:t>
      </w:r>
      <w:r w:rsidR="008C064E">
        <w:rPr>
          <w:rFonts w:ascii="Times New Roman" w:hAnsi="Times New Roman"/>
          <w:noProof/>
          <w:sz w:val="24"/>
        </w:rPr>
        <w:t xml:space="preserve"> s </w:t>
      </w:r>
      <w:r>
        <w:rPr>
          <w:rFonts w:ascii="Times New Roman" w:hAnsi="Times New Roman"/>
          <w:noProof/>
          <w:sz w:val="24"/>
        </w:rPr>
        <w:t>osobnými informáciami svoje následné prenosy údajov pôvodne prijaté</w:t>
      </w:r>
      <w:r w:rsidR="008C064E">
        <w:rPr>
          <w:rFonts w:ascii="Times New Roman" w:hAnsi="Times New Roman"/>
          <w:noProof/>
          <w:sz w:val="24"/>
        </w:rPr>
        <w:t xml:space="preserve"> z </w:t>
      </w:r>
      <w:r>
        <w:rPr>
          <w:rFonts w:ascii="Times New Roman" w:hAnsi="Times New Roman"/>
          <w:noProof/>
          <w:sz w:val="24"/>
        </w:rPr>
        <w:t>EÚ formalizujú „uzatvorením zmluvy, ktorá príjemcu zaväzuje</w:t>
      </w:r>
      <w:r w:rsidR="008C064E">
        <w:rPr>
          <w:rFonts w:ascii="Times New Roman" w:hAnsi="Times New Roman"/>
          <w:noProof/>
          <w:sz w:val="24"/>
        </w:rPr>
        <w:t xml:space="preserve"> k </w:t>
      </w:r>
      <w:r>
        <w:rPr>
          <w:rFonts w:ascii="Times New Roman" w:hAnsi="Times New Roman"/>
          <w:noProof/>
          <w:sz w:val="24"/>
        </w:rPr>
        <w:t>prijatiu opatrení zabezpečujúcich nepretržitú ochranu“, Komisia pre ochranu osobných informácií</w:t>
      </w:r>
      <w:r w:rsidR="008C064E">
        <w:rPr>
          <w:rFonts w:ascii="Times New Roman" w:hAnsi="Times New Roman"/>
          <w:noProof/>
          <w:sz w:val="24"/>
        </w:rPr>
        <w:t xml:space="preserve"> v </w:t>
      </w:r>
      <w:r>
        <w:rPr>
          <w:rFonts w:ascii="Times New Roman" w:hAnsi="Times New Roman"/>
          <w:noProof/>
          <w:sz w:val="24"/>
        </w:rPr>
        <w:t>súčasnosti neposkytuje žiadne pokyny týkajúce sa odporúčaného obsahu (z hľadiska záruk) „rovnocenných opatrení“ používaných na medzinárodné prenosy údajov, či už vo forme usmernení, alebo vzorových zmlúv</w:t>
      </w:r>
      <w:r w:rsidR="008C064E">
        <w:rPr>
          <w:rFonts w:ascii="Times New Roman" w:hAnsi="Times New Roman"/>
          <w:noProof/>
          <w:sz w:val="24"/>
        </w:rPr>
        <w:t xml:space="preserve"> o </w:t>
      </w:r>
      <w:r>
        <w:rPr>
          <w:rFonts w:ascii="Times New Roman" w:hAnsi="Times New Roman"/>
          <w:noProof/>
          <w:sz w:val="24"/>
        </w:rPr>
        <w:t>ochrane údajov. Tieto ďalšie objasnenia, ktoré by mohli byť založené najmä na výmene informácií</w:t>
      </w:r>
      <w:r w:rsidR="008C064E">
        <w:rPr>
          <w:rFonts w:ascii="Times New Roman" w:hAnsi="Times New Roman"/>
          <w:noProof/>
          <w:sz w:val="24"/>
        </w:rPr>
        <w:t xml:space="preserve"> a </w:t>
      </w:r>
      <w:r>
        <w:rPr>
          <w:rFonts w:ascii="Times New Roman" w:hAnsi="Times New Roman"/>
          <w:noProof/>
          <w:sz w:val="24"/>
        </w:rPr>
        <w:t>najlepších postupov medzi Komisiou pre ochranu osobných informácií</w:t>
      </w:r>
      <w:r w:rsidR="008C064E">
        <w:rPr>
          <w:rFonts w:ascii="Times New Roman" w:hAnsi="Times New Roman"/>
          <w:noProof/>
          <w:sz w:val="24"/>
        </w:rPr>
        <w:t xml:space="preserve"> a </w:t>
      </w:r>
      <w:r>
        <w:rPr>
          <w:rFonts w:ascii="Times New Roman" w:hAnsi="Times New Roman"/>
          <w:noProof/>
          <w:sz w:val="24"/>
        </w:rPr>
        <w:t>Komisiou, by mohli byť osobitne dôležité, keďže sa týkajú aspektov, ktoré sú mimoriadne relevantné pre spoločnosti vykonávajúce svoju činnosť</w:t>
      </w:r>
      <w:r w:rsidR="008C064E">
        <w:rPr>
          <w:rFonts w:ascii="Times New Roman" w:hAnsi="Times New Roman"/>
          <w:noProof/>
          <w:sz w:val="24"/>
        </w:rPr>
        <w:t xml:space="preserve"> v </w:t>
      </w:r>
      <w:r>
        <w:rPr>
          <w:rFonts w:ascii="Times New Roman" w:hAnsi="Times New Roman"/>
          <w:noProof/>
          <w:sz w:val="24"/>
        </w:rPr>
        <w:t>oboch jurisdikciách.</w:t>
      </w:r>
    </w:p>
    <w:p w14:paraId="7631D3FB" w14:textId="019A5A01" w:rsidR="006B3034" w:rsidRDefault="006B5944" w:rsidP="00BA1561">
      <w:pPr>
        <w:jc w:val="both"/>
        <w:rPr>
          <w:rFonts w:ascii="Times New Roman" w:hAnsi="Times New Roman" w:cs="Times New Roman"/>
          <w:noProof/>
          <w:sz w:val="24"/>
          <w:szCs w:val="24"/>
        </w:rPr>
      </w:pPr>
      <w:r>
        <w:rPr>
          <w:rFonts w:ascii="Times New Roman" w:hAnsi="Times New Roman"/>
          <w:noProof/>
          <w:sz w:val="24"/>
        </w:rPr>
        <w:t>Pokiaľ ide</w:t>
      </w:r>
      <w:r w:rsidR="008C064E">
        <w:rPr>
          <w:rFonts w:ascii="Times New Roman" w:hAnsi="Times New Roman"/>
          <w:noProof/>
          <w:sz w:val="24"/>
        </w:rPr>
        <w:t xml:space="preserve"> o </w:t>
      </w:r>
      <w:r>
        <w:rPr>
          <w:rFonts w:ascii="Times New Roman" w:hAnsi="Times New Roman"/>
          <w:noProof/>
          <w:sz w:val="24"/>
        </w:rPr>
        <w:t>dozor</w:t>
      </w:r>
      <w:r w:rsidR="008C064E">
        <w:rPr>
          <w:rFonts w:ascii="Times New Roman" w:hAnsi="Times New Roman"/>
          <w:noProof/>
          <w:sz w:val="24"/>
        </w:rPr>
        <w:t xml:space="preserve"> a </w:t>
      </w:r>
      <w:r>
        <w:rPr>
          <w:rFonts w:ascii="Times New Roman" w:hAnsi="Times New Roman"/>
          <w:noProof/>
          <w:sz w:val="24"/>
        </w:rPr>
        <w:t>presadzovanie, Komisia konštatuje, že Komisia pre ochranu osobných informácií</w:t>
      </w:r>
      <w:r w:rsidR="008C064E">
        <w:rPr>
          <w:rFonts w:ascii="Times New Roman" w:hAnsi="Times New Roman"/>
          <w:noProof/>
          <w:sz w:val="24"/>
        </w:rPr>
        <w:t xml:space="preserve"> v </w:t>
      </w:r>
      <w:r>
        <w:rPr>
          <w:rFonts w:ascii="Times New Roman" w:hAnsi="Times New Roman"/>
          <w:noProof/>
          <w:sz w:val="24"/>
        </w:rPr>
        <w:t>období po prijatí rozhodnutia</w:t>
      </w:r>
      <w:r w:rsidR="008C064E">
        <w:rPr>
          <w:rFonts w:ascii="Times New Roman" w:hAnsi="Times New Roman"/>
          <w:noProof/>
          <w:sz w:val="24"/>
        </w:rPr>
        <w:t xml:space="preserve"> o </w:t>
      </w:r>
      <w:r>
        <w:rPr>
          <w:rFonts w:ascii="Times New Roman" w:hAnsi="Times New Roman"/>
          <w:noProof/>
          <w:sz w:val="24"/>
        </w:rPr>
        <w:t>primeranosti viac využívala svoje nedonucovacie právomoci spočívajúce</w:t>
      </w:r>
      <w:r w:rsidR="008C064E">
        <w:rPr>
          <w:rFonts w:ascii="Times New Roman" w:hAnsi="Times New Roman"/>
          <w:noProof/>
          <w:sz w:val="24"/>
        </w:rPr>
        <w:t xml:space="preserve"> v </w:t>
      </w:r>
      <w:r>
        <w:rPr>
          <w:rFonts w:ascii="Times New Roman" w:hAnsi="Times New Roman"/>
          <w:noProof/>
          <w:sz w:val="24"/>
        </w:rPr>
        <w:t>poskytovaní usmernení</w:t>
      </w:r>
      <w:r w:rsidR="008C064E">
        <w:rPr>
          <w:rFonts w:ascii="Times New Roman" w:hAnsi="Times New Roman"/>
          <w:noProof/>
          <w:sz w:val="24"/>
        </w:rPr>
        <w:t xml:space="preserve"> a </w:t>
      </w:r>
      <w:r>
        <w:rPr>
          <w:rFonts w:ascii="Times New Roman" w:hAnsi="Times New Roman"/>
          <w:noProof/>
          <w:sz w:val="24"/>
        </w:rPr>
        <w:t>poradenstva (článok 147 zákona APPI) ako donucovacie právomoci (spočívajúce napr.</w:t>
      </w:r>
      <w:r w:rsidR="008C064E">
        <w:rPr>
          <w:rFonts w:ascii="Times New Roman" w:hAnsi="Times New Roman"/>
          <w:noProof/>
          <w:sz w:val="24"/>
        </w:rPr>
        <w:t xml:space="preserve"> v </w:t>
      </w:r>
      <w:r>
        <w:rPr>
          <w:rFonts w:ascii="Times New Roman" w:hAnsi="Times New Roman"/>
          <w:noProof/>
          <w:sz w:val="24"/>
        </w:rPr>
        <w:t>ukladaní záväzných príkazov, článok 148 APPI). Komisia pre ochranu osobných informácií takisto oznámila, že do dnešného dňa neboli doručené žiadne sťažnosti týkajúce sa dodržiavania doplňujúcich pravidiel</w:t>
      </w:r>
      <w:r w:rsidR="008C064E">
        <w:rPr>
          <w:rFonts w:ascii="Times New Roman" w:hAnsi="Times New Roman"/>
          <w:noProof/>
          <w:sz w:val="24"/>
        </w:rPr>
        <w:t xml:space="preserve"> a z </w:t>
      </w:r>
      <w:r>
        <w:rPr>
          <w:rFonts w:ascii="Times New Roman" w:hAnsi="Times New Roman"/>
          <w:noProof/>
          <w:sz w:val="24"/>
        </w:rPr>
        <w:t>vlastnej iniciatívy Komisie pre ochranu osobných informácií sa neuskutočnili žiadne vyšetrovania týkajúce sa týchto otázok. Komisia pre ochranu osobných informácií však počas stretnutia zameraného na preskúmanie oznámila, že zamýšľa</w:t>
      </w:r>
      <w:r w:rsidR="008C064E">
        <w:rPr>
          <w:rFonts w:ascii="Times New Roman" w:hAnsi="Times New Roman"/>
          <w:noProof/>
          <w:sz w:val="24"/>
        </w:rPr>
        <w:t xml:space="preserve"> z </w:t>
      </w:r>
      <w:r>
        <w:rPr>
          <w:rFonts w:ascii="Times New Roman" w:hAnsi="Times New Roman"/>
          <w:noProof/>
          <w:sz w:val="24"/>
        </w:rPr>
        <w:t>vlastnej iniciatívy uskutočňovať náhodné kontroly, aby zabezpečila dodržiavanie doplňujúcich pravidiel. Komisia toto oznámenie víta, keďže sa domnieva, že takéto náhodné kontroly by boli veľmi dôležité na zabezpečenie toho, aby sa predišlo (prípadným) porušeniam doplňujúcich pravidiel, aby sa takéto porušenia zistili</w:t>
      </w:r>
      <w:r w:rsidR="008C064E">
        <w:rPr>
          <w:rFonts w:ascii="Times New Roman" w:hAnsi="Times New Roman"/>
          <w:noProof/>
          <w:sz w:val="24"/>
        </w:rPr>
        <w:t xml:space="preserve"> a </w:t>
      </w:r>
      <w:r>
        <w:rPr>
          <w:rFonts w:ascii="Times New Roman" w:hAnsi="Times New Roman"/>
          <w:noProof/>
          <w:sz w:val="24"/>
        </w:rPr>
        <w:t>aby sa riešili, čím sa zaistí účinný súlad</w:t>
      </w:r>
      <w:r w:rsidR="008C064E">
        <w:rPr>
          <w:rFonts w:ascii="Times New Roman" w:hAnsi="Times New Roman"/>
          <w:noProof/>
          <w:sz w:val="24"/>
        </w:rPr>
        <w:t xml:space="preserve"> s </w:t>
      </w:r>
      <w:r>
        <w:rPr>
          <w:rFonts w:ascii="Times New Roman" w:hAnsi="Times New Roman"/>
          <w:noProof/>
          <w:sz w:val="24"/>
        </w:rPr>
        <w:t>týmito pravidlami. Keďže novelami zákona APPI</w:t>
      </w:r>
      <w:r w:rsidR="008C064E">
        <w:rPr>
          <w:rFonts w:ascii="Times New Roman" w:hAnsi="Times New Roman"/>
          <w:noProof/>
          <w:sz w:val="24"/>
        </w:rPr>
        <w:t xml:space="preserve"> z </w:t>
      </w:r>
      <w:r>
        <w:rPr>
          <w:rFonts w:ascii="Times New Roman" w:hAnsi="Times New Roman"/>
          <w:noProof/>
          <w:sz w:val="24"/>
        </w:rPr>
        <w:t>rokov 2020</w:t>
      </w:r>
      <w:r w:rsidR="008C064E">
        <w:rPr>
          <w:rFonts w:ascii="Times New Roman" w:hAnsi="Times New Roman"/>
          <w:noProof/>
          <w:sz w:val="24"/>
        </w:rPr>
        <w:t xml:space="preserve"> a </w:t>
      </w:r>
      <w:r>
        <w:rPr>
          <w:rFonts w:ascii="Times New Roman" w:hAnsi="Times New Roman"/>
          <w:noProof/>
          <w:sz w:val="24"/>
        </w:rPr>
        <w:t>2021 sa posilnili právomoci Komisie pre ochranu osobných informácií</w:t>
      </w:r>
      <w:r w:rsidR="008C064E">
        <w:rPr>
          <w:rFonts w:ascii="Times New Roman" w:hAnsi="Times New Roman"/>
          <w:noProof/>
          <w:sz w:val="24"/>
        </w:rPr>
        <w:t xml:space="preserve"> v </w:t>
      </w:r>
      <w:r>
        <w:rPr>
          <w:rFonts w:ascii="Times New Roman" w:hAnsi="Times New Roman"/>
          <w:noProof/>
          <w:sz w:val="24"/>
        </w:rPr>
        <w:t>oblasti dozoru, tieto náhodné kontroly by mohli byť súčasťou celkového úsilia zintenzívniť využívanie takýchto právomocí.</w:t>
      </w:r>
    </w:p>
    <w:p w14:paraId="03AD075E" w14:textId="57A8C965" w:rsidR="00D1708B" w:rsidRDefault="00D1708B" w:rsidP="00D1708B">
      <w:pPr>
        <w:jc w:val="both"/>
        <w:rPr>
          <w:rFonts w:ascii="Times New Roman" w:hAnsi="Times New Roman" w:cs="Times New Roman"/>
          <w:noProof/>
          <w:sz w:val="24"/>
          <w:szCs w:val="24"/>
        </w:rPr>
      </w:pPr>
      <w:r>
        <w:rPr>
          <w:rFonts w:ascii="Times New Roman" w:hAnsi="Times New Roman"/>
          <w:noProof/>
          <w:sz w:val="24"/>
        </w:rPr>
        <w:t>Komisia napokon veľmi víta zriadenie špecializovaných kontaktných miest pre fyzické osoby</w:t>
      </w:r>
      <w:r w:rsidR="008C064E">
        <w:rPr>
          <w:rFonts w:ascii="Times New Roman" w:hAnsi="Times New Roman"/>
          <w:noProof/>
          <w:sz w:val="24"/>
        </w:rPr>
        <w:t xml:space="preserve"> z </w:t>
      </w:r>
      <w:r>
        <w:rPr>
          <w:rFonts w:ascii="Times New Roman" w:hAnsi="Times New Roman"/>
          <w:noProof/>
          <w:sz w:val="24"/>
        </w:rPr>
        <w:t>EÚ, ktoré majú otázky alebo obavy</w:t>
      </w:r>
      <w:r w:rsidR="008C064E">
        <w:rPr>
          <w:rFonts w:ascii="Times New Roman" w:hAnsi="Times New Roman"/>
          <w:noProof/>
          <w:sz w:val="24"/>
        </w:rPr>
        <w:t xml:space="preserve"> v </w:t>
      </w:r>
      <w:r>
        <w:rPr>
          <w:rFonts w:ascii="Times New Roman" w:hAnsi="Times New Roman"/>
          <w:noProof/>
          <w:sz w:val="24"/>
        </w:rPr>
        <w:t>súvislosti so spracúvaním ich osobných údajov</w:t>
      </w:r>
      <w:r w:rsidR="008C064E">
        <w:rPr>
          <w:rFonts w:ascii="Times New Roman" w:hAnsi="Times New Roman"/>
          <w:noProof/>
          <w:sz w:val="24"/>
        </w:rPr>
        <w:t xml:space="preserve"> v </w:t>
      </w:r>
      <w:r>
        <w:rPr>
          <w:rFonts w:ascii="Times New Roman" w:hAnsi="Times New Roman"/>
          <w:noProof/>
          <w:sz w:val="24"/>
        </w:rPr>
        <w:t>Japonsku, či už sú to obchodné hospodárske subjekty (informačná linka), alebo orgány verejnej moci (linka pre vybavovanie sťažností). Zároveň upozorňuje, že na webovej stránke informačnej linky sa uvádza, že je dostupná „len</w:t>
      </w:r>
      <w:r w:rsidR="008C064E">
        <w:rPr>
          <w:rFonts w:ascii="Times New Roman" w:hAnsi="Times New Roman"/>
          <w:noProof/>
          <w:sz w:val="24"/>
        </w:rPr>
        <w:t xml:space="preserve"> v </w:t>
      </w:r>
      <w:r>
        <w:rPr>
          <w:rFonts w:ascii="Times New Roman" w:hAnsi="Times New Roman"/>
          <w:noProof/>
          <w:sz w:val="24"/>
        </w:rPr>
        <w:t>japončine“, čo pravdepodobne odradí fyzické osoby</w:t>
      </w:r>
      <w:r w:rsidR="008C064E">
        <w:rPr>
          <w:rFonts w:ascii="Times New Roman" w:hAnsi="Times New Roman"/>
          <w:noProof/>
          <w:sz w:val="24"/>
        </w:rPr>
        <w:t xml:space="preserve"> z </w:t>
      </w:r>
      <w:r>
        <w:rPr>
          <w:rFonts w:ascii="Times New Roman" w:hAnsi="Times New Roman"/>
          <w:noProof/>
          <w:sz w:val="24"/>
        </w:rPr>
        <w:t>EÚ od jej využívania, aj keď Komisia pre ochranu osobných informácií vysvetlila, že</w:t>
      </w:r>
      <w:r w:rsidR="008C064E">
        <w:rPr>
          <w:rFonts w:ascii="Times New Roman" w:hAnsi="Times New Roman"/>
          <w:noProof/>
          <w:sz w:val="24"/>
        </w:rPr>
        <w:t xml:space="preserve"> v </w:t>
      </w:r>
      <w:r>
        <w:rPr>
          <w:rFonts w:ascii="Times New Roman" w:hAnsi="Times New Roman"/>
          <w:noProof/>
          <w:sz w:val="24"/>
        </w:rPr>
        <w:t>zásade je dostupná aj pomoc</w:t>
      </w:r>
      <w:r w:rsidR="008C064E">
        <w:rPr>
          <w:rFonts w:ascii="Times New Roman" w:hAnsi="Times New Roman"/>
          <w:noProof/>
          <w:sz w:val="24"/>
        </w:rPr>
        <w:t xml:space="preserve"> v </w:t>
      </w:r>
      <w:r>
        <w:rPr>
          <w:rFonts w:ascii="Times New Roman" w:hAnsi="Times New Roman"/>
          <w:noProof/>
          <w:sz w:val="24"/>
        </w:rPr>
        <w:t>anglickom jazyku. Komisia berie na vedomie, že Komisia pre ochranu osobných informácií musí zvážiť spôsoby, ako takéto kontaktné miesta lepšie sprístupniť Európanom,</w:t>
      </w:r>
      <w:r w:rsidR="008C064E">
        <w:rPr>
          <w:rFonts w:ascii="Times New Roman" w:hAnsi="Times New Roman"/>
          <w:noProof/>
          <w:sz w:val="24"/>
        </w:rPr>
        <w:t xml:space="preserve"> a </w:t>
      </w:r>
      <w:r>
        <w:rPr>
          <w:rFonts w:ascii="Times New Roman" w:hAnsi="Times New Roman"/>
          <w:noProof/>
          <w:sz w:val="24"/>
        </w:rPr>
        <w:t>to okrem iného objasnením uvedenej skutočnosti.</w:t>
      </w:r>
    </w:p>
    <w:p w14:paraId="45D3CD02" w14:textId="25FA5DA7" w:rsidR="00314611" w:rsidRPr="006020A8" w:rsidRDefault="00314611" w:rsidP="006020A8">
      <w:pPr>
        <w:pStyle w:val="ListParagraph"/>
        <w:numPr>
          <w:ilvl w:val="0"/>
          <w:numId w:val="1"/>
        </w:numPr>
        <w:rPr>
          <w:rFonts w:ascii="Times New Roman" w:hAnsi="Times New Roman" w:cs="Times New Roman"/>
          <w:b/>
          <w:bCs/>
          <w:noProof/>
          <w:sz w:val="24"/>
          <w:szCs w:val="24"/>
        </w:rPr>
      </w:pPr>
      <w:r>
        <w:rPr>
          <w:rFonts w:ascii="Times New Roman" w:hAnsi="Times New Roman"/>
          <w:b/>
          <w:noProof/>
          <w:sz w:val="24"/>
        </w:rPr>
        <w:t>ZÁVER</w:t>
      </w:r>
    </w:p>
    <w:p w14:paraId="717836E6" w14:textId="30CB7788" w:rsidR="002E1F00" w:rsidRDefault="00A17989" w:rsidP="00A17989">
      <w:pPr>
        <w:jc w:val="both"/>
        <w:rPr>
          <w:rFonts w:ascii="Times New Roman" w:hAnsi="Times New Roman" w:cs="Times New Roman"/>
          <w:noProof/>
          <w:sz w:val="24"/>
          <w:szCs w:val="24"/>
        </w:rPr>
      </w:pPr>
      <w:r>
        <w:rPr>
          <w:rFonts w:ascii="Times New Roman" w:hAnsi="Times New Roman"/>
          <w:noProof/>
          <w:sz w:val="24"/>
        </w:rPr>
        <w:t>Komisia na základe celkových zistení</w:t>
      </w:r>
      <w:r w:rsidR="008C064E">
        <w:rPr>
          <w:rFonts w:ascii="Times New Roman" w:hAnsi="Times New Roman"/>
          <w:noProof/>
          <w:sz w:val="24"/>
        </w:rPr>
        <w:t xml:space="preserve"> v </w:t>
      </w:r>
      <w:r>
        <w:rPr>
          <w:rFonts w:ascii="Times New Roman" w:hAnsi="Times New Roman"/>
          <w:noProof/>
          <w:sz w:val="24"/>
        </w:rPr>
        <w:t>rámci tohto prvého preskúmania dospela</w:t>
      </w:r>
      <w:r w:rsidR="008C064E">
        <w:rPr>
          <w:rFonts w:ascii="Times New Roman" w:hAnsi="Times New Roman"/>
          <w:noProof/>
          <w:sz w:val="24"/>
        </w:rPr>
        <w:t xml:space="preserve"> k </w:t>
      </w:r>
      <w:r>
        <w:rPr>
          <w:rFonts w:ascii="Times New Roman" w:hAnsi="Times New Roman"/>
          <w:noProof/>
          <w:sz w:val="24"/>
        </w:rPr>
        <w:t>záveru, že Japonsko naďalej zabezpečuje primeranú úroveň ochrany osobných údajov, ktoré smerujú</w:t>
      </w:r>
      <w:r w:rsidR="008C064E">
        <w:rPr>
          <w:rFonts w:ascii="Times New Roman" w:hAnsi="Times New Roman"/>
          <w:noProof/>
          <w:sz w:val="24"/>
        </w:rPr>
        <w:t xml:space="preserve"> z </w:t>
      </w:r>
      <w:r>
        <w:rPr>
          <w:rFonts w:ascii="Times New Roman" w:hAnsi="Times New Roman"/>
          <w:noProof/>
          <w:sz w:val="24"/>
        </w:rPr>
        <w:t>Európskej únie</w:t>
      </w:r>
      <w:r w:rsidR="008C064E">
        <w:rPr>
          <w:rFonts w:ascii="Times New Roman" w:hAnsi="Times New Roman"/>
          <w:noProof/>
          <w:sz w:val="24"/>
        </w:rPr>
        <w:t xml:space="preserve"> k </w:t>
      </w:r>
      <w:r>
        <w:rPr>
          <w:rFonts w:ascii="Times New Roman" w:hAnsi="Times New Roman"/>
          <w:noProof/>
          <w:sz w:val="24"/>
        </w:rPr>
        <w:t>japonským hospodárskym subjektom nakladajúcim</w:t>
      </w:r>
      <w:r w:rsidR="008C064E">
        <w:rPr>
          <w:rFonts w:ascii="Times New Roman" w:hAnsi="Times New Roman"/>
          <w:noProof/>
          <w:sz w:val="24"/>
        </w:rPr>
        <w:t xml:space="preserve"> s </w:t>
      </w:r>
      <w:r>
        <w:rPr>
          <w:rFonts w:ascii="Times New Roman" w:hAnsi="Times New Roman"/>
          <w:noProof/>
          <w:sz w:val="24"/>
        </w:rPr>
        <w:t>osobnými informáciami, na ktoré sa vzťahuje zákon APPI</w:t>
      </w:r>
      <w:r w:rsidR="008C064E">
        <w:rPr>
          <w:rFonts w:ascii="Times New Roman" w:hAnsi="Times New Roman"/>
          <w:noProof/>
          <w:sz w:val="24"/>
        </w:rPr>
        <w:t xml:space="preserve"> a </w:t>
      </w:r>
      <w:r>
        <w:rPr>
          <w:rFonts w:ascii="Times New Roman" w:hAnsi="Times New Roman"/>
          <w:noProof/>
          <w:sz w:val="24"/>
        </w:rPr>
        <w:t>jeho doplňujúce pravidlá</w:t>
      </w:r>
      <w:r w:rsidR="008C064E">
        <w:rPr>
          <w:rFonts w:ascii="Times New Roman" w:hAnsi="Times New Roman"/>
          <w:noProof/>
          <w:sz w:val="24"/>
        </w:rPr>
        <w:t xml:space="preserve"> a </w:t>
      </w:r>
      <w:r>
        <w:rPr>
          <w:rFonts w:ascii="Times New Roman" w:hAnsi="Times New Roman"/>
          <w:noProof/>
          <w:sz w:val="24"/>
        </w:rPr>
        <w:t>oficiálne vyhlásenia, uistenia</w:t>
      </w:r>
      <w:r w:rsidR="008C064E">
        <w:rPr>
          <w:rFonts w:ascii="Times New Roman" w:hAnsi="Times New Roman"/>
          <w:noProof/>
          <w:sz w:val="24"/>
        </w:rPr>
        <w:t xml:space="preserve"> a </w:t>
      </w:r>
      <w:r>
        <w:rPr>
          <w:rFonts w:ascii="Times New Roman" w:hAnsi="Times New Roman"/>
          <w:noProof/>
          <w:sz w:val="24"/>
        </w:rPr>
        <w:t>záväzky uvedené</w:t>
      </w:r>
      <w:r w:rsidR="008C064E">
        <w:rPr>
          <w:rFonts w:ascii="Times New Roman" w:hAnsi="Times New Roman"/>
          <w:noProof/>
          <w:sz w:val="24"/>
        </w:rPr>
        <w:t xml:space="preserve"> v </w:t>
      </w:r>
      <w:r>
        <w:rPr>
          <w:rFonts w:ascii="Times New Roman" w:hAnsi="Times New Roman"/>
          <w:noProof/>
          <w:sz w:val="24"/>
        </w:rPr>
        <w:t>prílohe II</w:t>
      </w:r>
      <w:r w:rsidR="008C064E">
        <w:rPr>
          <w:rFonts w:ascii="Times New Roman" w:hAnsi="Times New Roman"/>
          <w:noProof/>
          <w:sz w:val="24"/>
        </w:rPr>
        <w:t xml:space="preserve"> k </w:t>
      </w:r>
      <w:r>
        <w:rPr>
          <w:rFonts w:ascii="Times New Roman" w:hAnsi="Times New Roman"/>
          <w:noProof/>
          <w:sz w:val="24"/>
        </w:rPr>
        <w:t>rozhodnutiu. Útvary Komisie</w:t>
      </w:r>
      <w:r w:rsidR="008C064E">
        <w:rPr>
          <w:rFonts w:ascii="Times New Roman" w:hAnsi="Times New Roman"/>
          <w:noProof/>
          <w:sz w:val="24"/>
        </w:rPr>
        <w:t xml:space="preserve"> v </w:t>
      </w:r>
      <w:r>
        <w:rPr>
          <w:rFonts w:ascii="Times New Roman" w:hAnsi="Times New Roman"/>
          <w:noProof/>
          <w:sz w:val="24"/>
        </w:rPr>
        <w:t>tomto kontexte uznávajú</w:t>
      </w:r>
      <w:r w:rsidR="008C064E">
        <w:rPr>
          <w:rFonts w:ascii="Times New Roman" w:hAnsi="Times New Roman"/>
          <w:noProof/>
          <w:sz w:val="24"/>
        </w:rPr>
        <w:t xml:space="preserve"> a </w:t>
      </w:r>
      <w:r>
        <w:rPr>
          <w:rFonts w:ascii="Times New Roman" w:hAnsi="Times New Roman"/>
          <w:noProof/>
          <w:sz w:val="24"/>
        </w:rPr>
        <w:t>veľmi oceňujú vynikajúcu spoluprácu</w:t>
      </w:r>
      <w:r w:rsidR="008C064E">
        <w:rPr>
          <w:rFonts w:ascii="Times New Roman" w:hAnsi="Times New Roman"/>
          <w:noProof/>
          <w:sz w:val="24"/>
        </w:rPr>
        <w:t xml:space="preserve"> s </w:t>
      </w:r>
      <w:r>
        <w:rPr>
          <w:rFonts w:ascii="Times New Roman" w:hAnsi="Times New Roman"/>
          <w:noProof/>
          <w:sz w:val="24"/>
        </w:rPr>
        <w:t>japonskými orgánmi, najmä</w:t>
      </w:r>
      <w:r w:rsidR="008C064E">
        <w:rPr>
          <w:rFonts w:ascii="Times New Roman" w:hAnsi="Times New Roman"/>
          <w:noProof/>
          <w:sz w:val="24"/>
        </w:rPr>
        <w:t xml:space="preserve"> s </w:t>
      </w:r>
      <w:r>
        <w:rPr>
          <w:rFonts w:ascii="Times New Roman" w:hAnsi="Times New Roman"/>
          <w:noProof/>
          <w:sz w:val="24"/>
        </w:rPr>
        <w:t>Komisiou pre ochranu osobných informácií, pri vykonávaní preskúmania.</w:t>
      </w:r>
    </w:p>
    <w:p w14:paraId="7373D78D" w14:textId="031ACFD0" w:rsidR="00A17989" w:rsidRDefault="00A17989" w:rsidP="00A17989">
      <w:pPr>
        <w:jc w:val="both"/>
        <w:rPr>
          <w:rFonts w:ascii="Times New Roman" w:hAnsi="Times New Roman" w:cs="Times New Roman"/>
          <w:noProof/>
          <w:sz w:val="24"/>
          <w:szCs w:val="24"/>
        </w:rPr>
      </w:pPr>
      <w:r>
        <w:rPr>
          <w:rFonts w:ascii="Times New Roman" w:hAnsi="Times New Roman"/>
          <w:noProof/>
          <w:sz w:val="24"/>
        </w:rPr>
        <w:t>Vzhľadom na tento výsledok preskúmania</w:t>
      </w:r>
      <w:r w:rsidR="008C064E">
        <w:rPr>
          <w:rFonts w:ascii="Times New Roman" w:hAnsi="Times New Roman"/>
          <w:noProof/>
          <w:sz w:val="24"/>
        </w:rPr>
        <w:t xml:space="preserve"> a v </w:t>
      </w:r>
      <w:r>
        <w:rPr>
          <w:rFonts w:ascii="Times New Roman" w:hAnsi="Times New Roman"/>
          <w:noProof/>
          <w:sz w:val="24"/>
        </w:rPr>
        <w:t>súlade</w:t>
      </w:r>
      <w:r w:rsidR="008C064E">
        <w:rPr>
          <w:rFonts w:ascii="Times New Roman" w:hAnsi="Times New Roman"/>
          <w:noProof/>
          <w:sz w:val="24"/>
        </w:rPr>
        <w:t xml:space="preserve"> s </w:t>
      </w:r>
      <w:r>
        <w:rPr>
          <w:rFonts w:ascii="Times New Roman" w:hAnsi="Times New Roman"/>
          <w:noProof/>
          <w:sz w:val="24"/>
        </w:rPr>
        <w:t>odôvodnením 181 rozhodnutia</w:t>
      </w:r>
      <w:r w:rsidR="008C064E">
        <w:rPr>
          <w:rFonts w:ascii="Times New Roman" w:hAnsi="Times New Roman"/>
          <w:noProof/>
          <w:sz w:val="24"/>
        </w:rPr>
        <w:t xml:space="preserve"> o </w:t>
      </w:r>
      <w:r>
        <w:rPr>
          <w:rFonts w:ascii="Times New Roman" w:hAnsi="Times New Roman"/>
          <w:noProof/>
          <w:sz w:val="24"/>
        </w:rPr>
        <w:t>primeranosti sa Komisia domnieva, že</w:t>
      </w:r>
      <w:r w:rsidR="008C064E">
        <w:rPr>
          <w:rFonts w:ascii="Times New Roman" w:hAnsi="Times New Roman"/>
          <w:noProof/>
          <w:sz w:val="24"/>
        </w:rPr>
        <w:t xml:space="preserve"> v </w:t>
      </w:r>
      <w:r>
        <w:rPr>
          <w:rFonts w:ascii="Times New Roman" w:hAnsi="Times New Roman"/>
          <w:noProof/>
          <w:sz w:val="24"/>
        </w:rPr>
        <w:t>prípade budúcich preskúmaní nie je potrebné zachovať dvojročný cyklus,</w:t>
      </w:r>
      <w:r w:rsidR="008C064E">
        <w:rPr>
          <w:rFonts w:ascii="Times New Roman" w:hAnsi="Times New Roman"/>
          <w:noProof/>
          <w:sz w:val="24"/>
        </w:rPr>
        <w:t xml:space="preserve"> a </w:t>
      </w:r>
      <w:r>
        <w:rPr>
          <w:rFonts w:ascii="Times New Roman" w:hAnsi="Times New Roman"/>
          <w:noProof/>
          <w:sz w:val="24"/>
        </w:rPr>
        <w:t>usudzuje, že je na základe článku 45 ods. 3 všeobecného nariadenia</w:t>
      </w:r>
      <w:r w:rsidR="008C064E">
        <w:rPr>
          <w:rFonts w:ascii="Times New Roman" w:hAnsi="Times New Roman"/>
          <w:noProof/>
          <w:sz w:val="24"/>
        </w:rPr>
        <w:t xml:space="preserve"> o </w:t>
      </w:r>
      <w:r>
        <w:rPr>
          <w:rFonts w:ascii="Times New Roman" w:hAnsi="Times New Roman"/>
          <w:noProof/>
          <w:sz w:val="24"/>
        </w:rPr>
        <w:t>ochrane údajov vhodné prejsť na štvorročný cyklus. Tento bod náležite prediskutuje</w:t>
      </w:r>
      <w:r w:rsidR="008C064E">
        <w:rPr>
          <w:rFonts w:ascii="Times New Roman" w:hAnsi="Times New Roman"/>
          <w:noProof/>
          <w:sz w:val="24"/>
        </w:rPr>
        <w:t xml:space="preserve"> s </w:t>
      </w:r>
      <w:r>
        <w:rPr>
          <w:rFonts w:ascii="Times New Roman" w:hAnsi="Times New Roman"/>
          <w:noProof/>
          <w:sz w:val="24"/>
        </w:rPr>
        <w:t>výborom zriadeným podľa článku 93 ods. 1 všeobecného nariadenia</w:t>
      </w:r>
      <w:r w:rsidR="008C064E">
        <w:rPr>
          <w:rFonts w:ascii="Times New Roman" w:hAnsi="Times New Roman"/>
          <w:noProof/>
          <w:sz w:val="24"/>
        </w:rPr>
        <w:t xml:space="preserve"> o </w:t>
      </w:r>
      <w:r>
        <w:rPr>
          <w:rFonts w:ascii="Times New Roman" w:hAnsi="Times New Roman"/>
          <w:noProof/>
          <w:sz w:val="24"/>
        </w:rPr>
        <w:t>ochrane údajov</w:t>
      </w:r>
      <w:r>
        <w:rPr>
          <w:rStyle w:val="FootnoteReference"/>
          <w:rFonts w:ascii="Times New Roman" w:hAnsi="Times New Roman" w:cs="Times New Roman"/>
          <w:noProof/>
          <w:sz w:val="24"/>
          <w:szCs w:val="24"/>
          <w:lang w:val="en-IE"/>
        </w:rPr>
        <w:footnoteReference w:id="26"/>
      </w:r>
      <w:r>
        <w:rPr>
          <w:rFonts w:ascii="Times New Roman" w:hAnsi="Times New Roman"/>
          <w:noProof/>
          <w:sz w:val="24"/>
        </w:rPr>
        <w:t>.</w:t>
      </w:r>
    </w:p>
    <w:p w14:paraId="3E212679" w14:textId="771D54B3" w:rsidR="00A17989" w:rsidRPr="00A17989" w:rsidRDefault="00A17989" w:rsidP="002A0354">
      <w:pPr>
        <w:jc w:val="both"/>
        <w:rPr>
          <w:rFonts w:ascii="Times New Roman" w:hAnsi="Times New Roman" w:cs="Times New Roman"/>
          <w:noProof/>
          <w:sz w:val="24"/>
          <w:szCs w:val="24"/>
        </w:rPr>
      </w:pPr>
      <w:r>
        <w:rPr>
          <w:rFonts w:ascii="Times New Roman" w:hAnsi="Times New Roman"/>
          <w:noProof/>
          <w:sz w:val="24"/>
        </w:rPr>
        <w:t>Posilnenie určitých aspektov japonského rámca by zároveň mohlo prispieť</w:t>
      </w:r>
      <w:r w:rsidR="008C064E">
        <w:rPr>
          <w:rFonts w:ascii="Times New Roman" w:hAnsi="Times New Roman"/>
          <w:noProof/>
          <w:sz w:val="24"/>
        </w:rPr>
        <w:t xml:space="preserve"> k </w:t>
      </w:r>
      <w:r>
        <w:rPr>
          <w:rFonts w:ascii="Times New Roman" w:hAnsi="Times New Roman"/>
          <w:noProof/>
          <w:sz w:val="24"/>
        </w:rPr>
        <w:t>ďalšiemu zintenzívneniu záruk stanovených</w:t>
      </w:r>
      <w:r w:rsidR="008C064E">
        <w:rPr>
          <w:rFonts w:ascii="Times New Roman" w:hAnsi="Times New Roman"/>
          <w:noProof/>
          <w:sz w:val="24"/>
        </w:rPr>
        <w:t xml:space="preserve"> v </w:t>
      </w:r>
      <w:r>
        <w:rPr>
          <w:rFonts w:ascii="Times New Roman" w:hAnsi="Times New Roman"/>
          <w:noProof/>
          <w:sz w:val="24"/>
        </w:rPr>
        <w:t>zákone APPI</w:t>
      </w:r>
      <w:r w:rsidR="008C064E">
        <w:rPr>
          <w:rFonts w:ascii="Times New Roman" w:hAnsi="Times New Roman"/>
          <w:noProof/>
          <w:sz w:val="24"/>
        </w:rPr>
        <w:t xml:space="preserve"> a </w:t>
      </w:r>
      <w:r>
        <w:rPr>
          <w:rFonts w:ascii="Times New Roman" w:hAnsi="Times New Roman"/>
          <w:noProof/>
          <w:sz w:val="24"/>
        </w:rPr>
        <w:t>doplňujúcich pravidlách. Komisia na tento účel vydáva tieto odporúčania:</w:t>
      </w:r>
    </w:p>
    <w:p w14:paraId="18CDB951" w14:textId="0E2E04F4" w:rsidR="00A17989" w:rsidRPr="00A17989" w:rsidRDefault="00A17989" w:rsidP="002A0354">
      <w:pPr>
        <w:numPr>
          <w:ilvl w:val="0"/>
          <w:numId w:val="2"/>
        </w:numPr>
        <w:ind w:left="714" w:hanging="357"/>
        <w:jc w:val="both"/>
        <w:rPr>
          <w:rFonts w:ascii="Times New Roman" w:hAnsi="Times New Roman" w:cs="Times New Roman"/>
          <w:noProof/>
          <w:sz w:val="24"/>
          <w:szCs w:val="24"/>
        </w:rPr>
      </w:pPr>
      <w:r>
        <w:rPr>
          <w:rFonts w:ascii="Times New Roman" w:hAnsi="Times New Roman"/>
          <w:noProof/>
          <w:sz w:val="24"/>
        </w:rPr>
        <w:t>Komisia víta</w:t>
      </w:r>
      <w:r w:rsidR="008C064E">
        <w:rPr>
          <w:rFonts w:ascii="Times New Roman" w:hAnsi="Times New Roman"/>
          <w:noProof/>
          <w:sz w:val="24"/>
        </w:rPr>
        <w:t xml:space="preserve"> a </w:t>
      </w:r>
      <w:r>
        <w:rPr>
          <w:rFonts w:ascii="Times New Roman" w:hAnsi="Times New Roman"/>
          <w:noProof/>
          <w:sz w:val="24"/>
        </w:rPr>
        <w:t>ďalej podporuje zamýšľané využívanie náhodných kontrol zo strany Komisie pre ochranu osobných informácií na účely zabezpečenia súladu</w:t>
      </w:r>
      <w:r w:rsidR="008C064E">
        <w:rPr>
          <w:rFonts w:ascii="Times New Roman" w:hAnsi="Times New Roman"/>
          <w:noProof/>
          <w:sz w:val="24"/>
        </w:rPr>
        <w:t xml:space="preserve"> s </w:t>
      </w:r>
      <w:r>
        <w:rPr>
          <w:rFonts w:ascii="Times New Roman" w:hAnsi="Times New Roman"/>
          <w:noProof/>
          <w:sz w:val="24"/>
        </w:rPr>
        <w:t>doplňujúcimi pravidlami. Domnieva sa, že takéto náhodné kontroly by boli veľmi dôležité na zabezpečenie toho, aby sa predišlo (prípadným) porušeniam doplňujúcich pravidiel</w:t>
      </w:r>
      <w:r w:rsidR="008C064E">
        <w:rPr>
          <w:rFonts w:ascii="Times New Roman" w:hAnsi="Times New Roman"/>
          <w:noProof/>
          <w:sz w:val="24"/>
        </w:rPr>
        <w:t xml:space="preserve"> a </w:t>
      </w:r>
      <w:r>
        <w:rPr>
          <w:rFonts w:ascii="Times New Roman" w:hAnsi="Times New Roman"/>
          <w:noProof/>
          <w:sz w:val="24"/>
        </w:rPr>
        <w:t>aby sa takéto porušenia riešili, čím sa zaistí skutočný súlad</w:t>
      </w:r>
      <w:r w:rsidR="008C064E">
        <w:rPr>
          <w:rFonts w:ascii="Times New Roman" w:hAnsi="Times New Roman"/>
          <w:noProof/>
          <w:sz w:val="24"/>
        </w:rPr>
        <w:t xml:space="preserve"> s </w:t>
      </w:r>
      <w:r>
        <w:rPr>
          <w:rFonts w:ascii="Times New Roman" w:hAnsi="Times New Roman"/>
          <w:noProof/>
          <w:sz w:val="24"/>
        </w:rPr>
        <w:t xml:space="preserve">týmito pravidlami. </w:t>
      </w:r>
    </w:p>
    <w:p w14:paraId="274B053C" w14:textId="1AB6C2E2" w:rsidR="00A17989" w:rsidRPr="00A17989" w:rsidRDefault="00A17989" w:rsidP="002A0354">
      <w:pPr>
        <w:numPr>
          <w:ilvl w:val="0"/>
          <w:numId w:val="2"/>
        </w:numPr>
        <w:ind w:left="714" w:hanging="357"/>
        <w:jc w:val="both"/>
        <w:rPr>
          <w:rFonts w:ascii="Times New Roman" w:hAnsi="Times New Roman" w:cs="Times New Roman"/>
          <w:noProof/>
          <w:sz w:val="24"/>
          <w:szCs w:val="24"/>
        </w:rPr>
      </w:pPr>
      <w:r>
        <w:rPr>
          <w:rFonts w:ascii="Times New Roman" w:hAnsi="Times New Roman"/>
          <w:noProof/>
          <w:sz w:val="24"/>
        </w:rPr>
        <w:t>Komisia víta skutočnosť, že Komisia pre ochranu osobných informácií zverejnila aktualizované usmernenia</w:t>
      </w:r>
      <w:r w:rsidR="008C064E">
        <w:rPr>
          <w:rFonts w:ascii="Times New Roman" w:hAnsi="Times New Roman"/>
          <w:noProof/>
          <w:sz w:val="24"/>
        </w:rPr>
        <w:t xml:space="preserve"> v </w:t>
      </w:r>
      <w:r>
        <w:rPr>
          <w:rFonts w:ascii="Times New Roman" w:hAnsi="Times New Roman"/>
          <w:noProof/>
          <w:sz w:val="24"/>
        </w:rPr>
        <w:t>súvislosti</w:t>
      </w:r>
      <w:r w:rsidR="008C064E">
        <w:rPr>
          <w:rFonts w:ascii="Times New Roman" w:hAnsi="Times New Roman"/>
          <w:noProof/>
          <w:sz w:val="24"/>
        </w:rPr>
        <w:t xml:space="preserve"> s </w:t>
      </w:r>
      <w:r>
        <w:rPr>
          <w:rFonts w:ascii="Times New Roman" w:hAnsi="Times New Roman"/>
          <w:noProof/>
          <w:sz w:val="24"/>
        </w:rPr>
        <w:t>medzinárodným prenosom údajov, keďže tieto usmernenia zvýšia dostupnosť pravidiel stanovených</w:t>
      </w:r>
      <w:r w:rsidR="008C064E">
        <w:rPr>
          <w:rFonts w:ascii="Times New Roman" w:hAnsi="Times New Roman"/>
          <w:noProof/>
          <w:sz w:val="24"/>
        </w:rPr>
        <w:t xml:space="preserve"> v </w:t>
      </w:r>
      <w:r>
        <w:rPr>
          <w:rFonts w:ascii="Times New Roman" w:hAnsi="Times New Roman"/>
          <w:noProof/>
          <w:sz w:val="24"/>
        </w:rPr>
        <w:t>zákone APPI pre túto oblasť</w:t>
      </w:r>
      <w:r w:rsidR="008C064E">
        <w:rPr>
          <w:rFonts w:ascii="Times New Roman" w:hAnsi="Times New Roman"/>
          <w:noProof/>
          <w:sz w:val="24"/>
        </w:rPr>
        <w:t xml:space="preserve"> a </w:t>
      </w:r>
      <w:r>
        <w:rPr>
          <w:rFonts w:ascii="Times New Roman" w:hAnsi="Times New Roman"/>
          <w:noProof/>
          <w:sz w:val="24"/>
        </w:rPr>
        <w:t>prispejú</w:t>
      </w:r>
      <w:r w:rsidR="008C064E">
        <w:rPr>
          <w:rFonts w:ascii="Times New Roman" w:hAnsi="Times New Roman"/>
          <w:noProof/>
          <w:sz w:val="24"/>
        </w:rPr>
        <w:t xml:space="preserve"> k </w:t>
      </w:r>
      <w:r>
        <w:rPr>
          <w:rFonts w:ascii="Times New Roman" w:hAnsi="Times New Roman"/>
          <w:noProof/>
          <w:sz w:val="24"/>
        </w:rPr>
        <w:t>tomu, aby tieto pravidlá boli používateľsky ústretovejšie.</w:t>
      </w:r>
      <w:r w:rsidR="008C064E">
        <w:rPr>
          <w:rFonts w:ascii="Times New Roman" w:hAnsi="Times New Roman"/>
          <w:noProof/>
          <w:sz w:val="24"/>
        </w:rPr>
        <w:t xml:space="preserve"> V </w:t>
      </w:r>
      <w:r>
        <w:rPr>
          <w:rFonts w:ascii="Times New Roman" w:hAnsi="Times New Roman"/>
          <w:noProof/>
          <w:sz w:val="24"/>
        </w:rPr>
        <w:t>týchto usmerneniach (alebo inom usmerňovacom materiáli) by sa zároveň</w:t>
      </w:r>
      <w:r w:rsidR="008C064E">
        <w:rPr>
          <w:rFonts w:ascii="Times New Roman" w:hAnsi="Times New Roman"/>
          <w:noProof/>
          <w:sz w:val="24"/>
        </w:rPr>
        <w:t xml:space="preserve"> v </w:t>
      </w:r>
      <w:r>
        <w:rPr>
          <w:rFonts w:ascii="Times New Roman" w:hAnsi="Times New Roman"/>
          <w:noProof/>
          <w:sz w:val="24"/>
        </w:rPr>
        <w:t>prípade potreby mali vysvetliť osobitné požiadavky vyplývajúce</w:t>
      </w:r>
      <w:r w:rsidR="008C064E">
        <w:rPr>
          <w:rFonts w:ascii="Times New Roman" w:hAnsi="Times New Roman"/>
          <w:noProof/>
          <w:sz w:val="24"/>
        </w:rPr>
        <w:t xml:space="preserve"> z </w:t>
      </w:r>
      <w:r>
        <w:rPr>
          <w:rFonts w:ascii="Times New Roman" w:hAnsi="Times New Roman"/>
          <w:noProof/>
          <w:sz w:val="24"/>
        </w:rPr>
        <w:t>doplňujúcich pravidiel vrátane požiadaviek týkajúcich sa vylúčenia systému certifikácie cezhraničných pravidiel ochrany súkromia</w:t>
      </w:r>
      <w:r w:rsidR="008C064E">
        <w:rPr>
          <w:rFonts w:ascii="Times New Roman" w:hAnsi="Times New Roman"/>
          <w:noProof/>
          <w:sz w:val="24"/>
        </w:rPr>
        <w:t xml:space="preserve"> v </w:t>
      </w:r>
      <w:r>
        <w:rPr>
          <w:rFonts w:ascii="Times New Roman" w:hAnsi="Times New Roman"/>
          <w:noProof/>
          <w:sz w:val="24"/>
        </w:rPr>
        <w:t>rámci Ázijsko-tichomorskej hospodárskej spolupráce</w:t>
      </w:r>
      <w:r w:rsidR="008C064E">
        <w:rPr>
          <w:rFonts w:ascii="Times New Roman" w:hAnsi="Times New Roman"/>
          <w:noProof/>
          <w:sz w:val="24"/>
        </w:rPr>
        <w:t xml:space="preserve"> v </w:t>
      </w:r>
      <w:r>
        <w:rPr>
          <w:rFonts w:ascii="Times New Roman" w:hAnsi="Times New Roman"/>
          <w:noProof/>
          <w:sz w:val="24"/>
        </w:rPr>
        <w:t>prípade následných prenosov osobných údajov prijatých</w:t>
      </w:r>
      <w:r w:rsidR="008C064E">
        <w:rPr>
          <w:rFonts w:ascii="Times New Roman" w:hAnsi="Times New Roman"/>
          <w:noProof/>
          <w:sz w:val="24"/>
        </w:rPr>
        <w:t xml:space="preserve"> z </w:t>
      </w:r>
      <w:r>
        <w:rPr>
          <w:rFonts w:ascii="Times New Roman" w:hAnsi="Times New Roman"/>
          <w:noProof/>
          <w:sz w:val="24"/>
        </w:rPr>
        <w:t xml:space="preserve">EÚ. </w:t>
      </w:r>
    </w:p>
    <w:p w14:paraId="04149A1B" w14:textId="0CAA57A5" w:rsidR="00A17989" w:rsidRPr="00A17989" w:rsidRDefault="00A17989" w:rsidP="002A0354">
      <w:pPr>
        <w:numPr>
          <w:ilvl w:val="0"/>
          <w:numId w:val="2"/>
        </w:numPr>
        <w:ind w:left="714" w:hanging="357"/>
        <w:jc w:val="both"/>
        <w:rPr>
          <w:rFonts w:ascii="Times New Roman" w:hAnsi="Times New Roman" w:cs="Times New Roman"/>
          <w:noProof/>
          <w:sz w:val="24"/>
          <w:szCs w:val="24"/>
        </w:rPr>
      </w:pPr>
      <w:r>
        <w:rPr>
          <w:rFonts w:ascii="Times New Roman" w:hAnsi="Times New Roman"/>
          <w:noProof/>
          <w:sz w:val="24"/>
        </w:rPr>
        <w:t>Počas preskúmania sa diskutovalo</w:t>
      </w:r>
      <w:r w:rsidR="008C064E">
        <w:rPr>
          <w:rFonts w:ascii="Times New Roman" w:hAnsi="Times New Roman"/>
          <w:noProof/>
          <w:sz w:val="24"/>
        </w:rPr>
        <w:t xml:space="preserve"> o </w:t>
      </w:r>
      <w:r>
        <w:rPr>
          <w:rFonts w:ascii="Times New Roman" w:hAnsi="Times New Roman"/>
          <w:noProof/>
          <w:sz w:val="24"/>
        </w:rPr>
        <w:t>tom, ako by bolo možné informačnú linku či linku pre vybavovanie sťažností, ktoré prevádzkuje Komisia pre ochranu osobných informácií, lepšie sprístupniť, aby sa na ne so svojimi otázkami či sťažnosťami mohli obracať aj cudzinci.</w:t>
      </w:r>
      <w:r w:rsidR="008C064E">
        <w:rPr>
          <w:rFonts w:ascii="Times New Roman" w:hAnsi="Times New Roman"/>
          <w:noProof/>
          <w:sz w:val="24"/>
        </w:rPr>
        <w:t xml:space="preserve"> V </w:t>
      </w:r>
      <w:r>
        <w:rPr>
          <w:rFonts w:ascii="Times New Roman" w:hAnsi="Times New Roman"/>
          <w:noProof/>
          <w:sz w:val="24"/>
        </w:rPr>
        <w:t>tomto kontexte je dôležité, aby špecializované webové sídlo obsahovalo upozornenie, že pomoc je</w:t>
      </w:r>
      <w:r w:rsidR="008C064E">
        <w:rPr>
          <w:rFonts w:ascii="Times New Roman" w:hAnsi="Times New Roman"/>
          <w:noProof/>
          <w:sz w:val="24"/>
        </w:rPr>
        <w:t xml:space="preserve"> k </w:t>
      </w:r>
      <w:r>
        <w:rPr>
          <w:rFonts w:ascii="Times New Roman" w:hAnsi="Times New Roman"/>
          <w:noProof/>
          <w:sz w:val="24"/>
        </w:rPr>
        <w:t>dispozícii aj</w:t>
      </w:r>
      <w:r w:rsidR="008C064E">
        <w:rPr>
          <w:rFonts w:ascii="Times New Roman" w:hAnsi="Times New Roman"/>
          <w:noProof/>
          <w:sz w:val="24"/>
        </w:rPr>
        <w:t xml:space="preserve"> v </w:t>
      </w:r>
      <w:r>
        <w:rPr>
          <w:rFonts w:ascii="Times New Roman" w:hAnsi="Times New Roman"/>
          <w:noProof/>
          <w:sz w:val="24"/>
        </w:rPr>
        <w:t>anglickom jazyku.</w:t>
      </w:r>
    </w:p>
    <w:p w14:paraId="25689FFA" w14:textId="5BB76800" w:rsidR="00A17989" w:rsidRPr="00A17989" w:rsidRDefault="00A17989" w:rsidP="00A17989">
      <w:pPr>
        <w:jc w:val="both"/>
        <w:rPr>
          <w:rFonts w:ascii="Times New Roman" w:hAnsi="Times New Roman" w:cs="Times New Roman"/>
          <w:noProof/>
          <w:sz w:val="24"/>
          <w:szCs w:val="24"/>
        </w:rPr>
      </w:pPr>
      <w:r>
        <w:rPr>
          <w:rFonts w:ascii="Times New Roman" w:hAnsi="Times New Roman"/>
          <w:noProof/>
          <w:sz w:val="24"/>
        </w:rPr>
        <w:t>Preskúmanie takisto umožnilo identifikovať oblasti možnej budúcej spolupráce. Ako už bolo uvedené, Komisia pre ochranu osobných informácií</w:t>
      </w:r>
      <w:r w:rsidR="008C064E">
        <w:rPr>
          <w:rFonts w:ascii="Times New Roman" w:hAnsi="Times New Roman"/>
          <w:noProof/>
          <w:sz w:val="24"/>
        </w:rPr>
        <w:t xml:space="preserve"> v </w:t>
      </w:r>
      <w:r>
        <w:rPr>
          <w:rFonts w:ascii="Times New Roman" w:hAnsi="Times New Roman"/>
          <w:noProof/>
          <w:sz w:val="24"/>
        </w:rPr>
        <w:t>súčasnosti neposkytuje žiadne pokyny týkajúce sa odporúčaného obsahu (z hľadiska záruk) „rovnocenných opatrení“ používaných na medzinárodné prenosy údajov, či už vo forme usmernení, alebo vzorových zmlúv</w:t>
      </w:r>
      <w:r w:rsidR="008C064E">
        <w:rPr>
          <w:rFonts w:ascii="Times New Roman" w:hAnsi="Times New Roman"/>
          <w:noProof/>
          <w:sz w:val="24"/>
        </w:rPr>
        <w:t xml:space="preserve"> o </w:t>
      </w:r>
      <w:r>
        <w:rPr>
          <w:rFonts w:ascii="Times New Roman" w:hAnsi="Times New Roman"/>
          <w:noProof/>
          <w:sz w:val="24"/>
        </w:rPr>
        <w:t>ochrane údajov. Vzhľadom na narastajúci význam vzorových doložiek</w:t>
      </w:r>
      <w:r w:rsidR="008C064E">
        <w:rPr>
          <w:rFonts w:ascii="Times New Roman" w:hAnsi="Times New Roman"/>
          <w:noProof/>
          <w:sz w:val="24"/>
        </w:rPr>
        <w:t xml:space="preserve"> a </w:t>
      </w:r>
      <w:r>
        <w:rPr>
          <w:rFonts w:ascii="Times New Roman" w:hAnsi="Times New Roman"/>
          <w:noProof/>
          <w:sz w:val="24"/>
        </w:rPr>
        <w:t>ich potenciálu ako celosvetového nástroja na prenosy údajov, čo uznali napríklad G7</w:t>
      </w:r>
      <w:r>
        <w:rPr>
          <w:rStyle w:val="FootnoteReference"/>
          <w:rFonts w:ascii="Times New Roman" w:hAnsi="Times New Roman" w:cs="Times New Roman"/>
          <w:noProof/>
          <w:sz w:val="24"/>
          <w:szCs w:val="24"/>
        </w:rPr>
        <w:footnoteReference w:id="27"/>
      </w:r>
      <w:r w:rsidR="008C064E">
        <w:rPr>
          <w:rFonts w:ascii="Times New Roman" w:hAnsi="Times New Roman"/>
          <w:noProof/>
          <w:sz w:val="24"/>
        </w:rPr>
        <w:t xml:space="preserve"> a </w:t>
      </w:r>
      <w:r>
        <w:rPr>
          <w:rFonts w:ascii="Times New Roman" w:hAnsi="Times New Roman"/>
          <w:noProof/>
          <w:sz w:val="24"/>
        </w:rPr>
        <w:t>OECD</w:t>
      </w:r>
      <w:r>
        <w:rPr>
          <w:rStyle w:val="FootnoteReference"/>
          <w:rFonts w:ascii="Times New Roman" w:hAnsi="Times New Roman" w:cs="Times New Roman"/>
          <w:noProof/>
          <w:sz w:val="24"/>
          <w:szCs w:val="24"/>
        </w:rPr>
        <w:footnoteReference w:id="28"/>
      </w:r>
      <w:r>
        <w:rPr>
          <w:rFonts w:ascii="Times New Roman" w:hAnsi="Times New Roman"/>
          <w:noProof/>
          <w:sz w:val="24"/>
        </w:rPr>
        <w:t>, Komisia uviedla, že má záujem</w:t>
      </w:r>
      <w:r w:rsidR="008C064E">
        <w:rPr>
          <w:rFonts w:ascii="Times New Roman" w:hAnsi="Times New Roman"/>
          <w:noProof/>
          <w:sz w:val="24"/>
        </w:rPr>
        <w:t xml:space="preserve"> v </w:t>
      </w:r>
      <w:r>
        <w:rPr>
          <w:rFonts w:ascii="Times New Roman" w:hAnsi="Times New Roman"/>
          <w:noProof/>
          <w:sz w:val="24"/>
        </w:rPr>
        <w:t>budúcnosti spolupracovať</w:t>
      </w:r>
      <w:r w:rsidR="008C064E">
        <w:rPr>
          <w:rFonts w:ascii="Times New Roman" w:hAnsi="Times New Roman"/>
          <w:noProof/>
          <w:sz w:val="24"/>
        </w:rPr>
        <w:t xml:space="preserve"> s </w:t>
      </w:r>
      <w:r>
        <w:rPr>
          <w:rFonts w:ascii="Times New Roman" w:hAnsi="Times New Roman"/>
          <w:noProof/>
          <w:sz w:val="24"/>
        </w:rPr>
        <w:t>Japonskom na vypracovaní takýchto doložiek. Ďalšou oblasťou, ktorú Komisia zamýšľa preskúmať spolu</w:t>
      </w:r>
      <w:r w:rsidR="008C064E">
        <w:rPr>
          <w:rFonts w:ascii="Times New Roman" w:hAnsi="Times New Roman"/>
          <w:noProof/>
          <w:sz w:val="24"/>
        </w:rPr>
        <w:t xml:space="preserve"> s </w:t>
      </w:r>
      <w:r>
        <w:rPr>
          <w:rFonts w:ascii="Times New Roman" w:hAnsi="Times New Roman"/>
          <w:noProof/>
          <w:sz w:val="24"/>
        </w:rPr>
        <w:t>Komisiou pre ochranu osobných informácií, je rozšírenie rozsahu pôsobnosti rozhodnutia</w:t>
      </w:r>
      <w:r w:rsidR="008C064E">
        <w:rPr>
          <w:rFonts w:ascii="Times New Roman" w:hAnsi="Times New Roman"/>
          <w:noProof/>
          <w:sz w:val="24"/>
        </w:rPr>
        <w:t xml:space="preserve"> o </w:t>
      </w:r>
      <w:r>
        <w:rPr>
          <w:rFonts w:ascii="Times New Roman" w:hAnsi="Times New Roman"/>
          <w:noProof/>
          <w:sz w:val="24"/>
        </w:rPr>
        <w:t>primeranosti nad rámec prenosov údajov medzi obchodnými hospodárskymi subjektmi.</w:t>
      </w:r>
    </w:p>
    <w:p w14:paraId="39CE0D11" w14:textId="2183D210" w:rsidR="00A17989" w:rsidRDefault="00A17989" w:rsidP="00A17989">
      <w:pPr>
        <w:jc w:val="both"/>
        <w:rPr>
          <w:rFonts w:ascii="Times New Roman" w:hAnsi="Times New Roman" w:cs="Times New Roman"/>
          <w:noProof/>
          <w:sz w:val="24"/>
          <w:szCs w:val="24"/>
        </w:rPr>
      </w:pPr>
      <w:r>
        <w:rPr>
          <w:rFonts w:ascii="Times New Roman" w:hAnsi="Times New Roman"/>
          <w:noProof/>
          <w:sz w:val="24"/>
        </w:rPr>
        <w:t>Komisia bude naďalej pozorne monitorovať japonský rámec na ochranu údajov</w:t>
      </w:r>
      <w:r w:rsidR="008C064E">
        <w:rPr>
          <w:rFonts w:ascii="Times New Roman" w:hAnsi="Times New Roman"/>
          <w:noProof/>
          <w:sz w:val="24"/>
        </w:rPr>
        <w:t xml:space="preserve"> a </w:t>
      </w:r>
      <w:r>
        <w:rPr>
          <w:rFonts w:ascii="Times New Roman" w:hAnsi="Times New Roman"/>
          <w:noProof/>
          <w:sz w:val="24"/>
        </w:rPr>
        <w:t>skutočnú prax.</w:t>
      </w:r>
      <w:r w:rsidR="008C064E">
        <w:rPr>
          <w:rFonts w:ascii="Times New Roman" w:hAnsi="Times New Roman"/>
          <w:noProof/>
          <w:sz w:val="24"/>
        </w:rPr>
        <w:t xml:space="preserve"> V </w:t>
      </w:r>
      <w:r>
        <w:rPr>
          <w:rFonts w:ascii="Times New Roman" w:hAnsi="Times New Roman"/>
          <w:noProof/>
          <w:sz w:val="24"/>
        </w:rPr>
        <w:t>tejto súvislosti,</w:t>
      </w:r>
      <w:r w:rsidR="008C064E">
        <w:rPr>
          <w:rFonts w:ascii="Times New Roman" w:hAnsi="Times New Roman"/>
          <w:noProof/>
          <w:sz w:val="24"/>
        </w:rPr>
        <w:t xml:space="preserve"> a s </w:t>
      </w:r>
      <w:r>
        <w:rPr>
          <w:rFonts w:ascii="Times New Roman" w:hAnsi="Times New Roman"/>
          <w:noProof/>
          <w:sz w:val="24"/>
        </w:rPr>
        <w:t>prihliadnutím na to, že</w:t>
      </w:r>
      <w:r w:rsidR="008C064E">
        <w:rPr>
          <w:rFonts w:ascii="Times New Roman" w:hAnsi="Times New Roman"/>
          <w:noProof/>
          <w:sz w:val="24"/>
        </w:rPr>
        <w:t xml:space="preserve"> v </w:t>
      </w:r>
      <w:r>
        <w:rPr>
          <w:rFonts w:ascii="Times New Roman" w:hAnsi="Times New Roman"/>
          <w:noProof/>
          <w:sz w:val="24"/>
        </w:rPr>
        <w:t>súčasnosti narastá dopyt po celosvetových normách</w:t>
      </w:r>
      <w:r w:rsidR="008C064E">
        <w:rPr>
          <w:rFonts w:ascii="Times New Roman" w:hAnsi="Times New Roman"/>
          <w:noProof/>
          <w:sz w:val="24"/>
        </w:rPr>
        <w:t xml:space="preserve"> v </w:t>
      </w:r>
      <w:r>
        <w:rPr>
          <w:rFonts w:ascii="Times New Roman" w:hAnsi="Times New Roman"/>
          <w:noProof/>
          <w:sz w:val="24"/>
        </w:rPr>
        <w:t>oblasti ochrany súkromia</w:t>
      </w:r>
      <w:r w:rsidR="008C064E">
        <w:rPr>
          <w:rFonts w:ascii="Times New Roman" w:hAnsi="Times New Roman"/>
          <w:noProof/>
          <w:sz w:val="24"/>
        </w:rPr>
        <w:t xml:space="preserve"> a </w:t>
      </w:r>
      <w:r>
        <w:rPr>
          <w:rFonts w:ascii="Times New Roman" w:hAnsi="Times New Roman"/>
          <w:noProof/>
          <w:sz w:val="24"/>
        </w:rPr>
        <w:t>tokov údajov, očakáva budúcu výmenu informácií</w:t>
      </w:r>
      <w:r w:rsidR="008C064E">
        <w:rPr>
          <w:rFonts w:ascii="Times New Roman" w:hAnsi="Times New Roman"/>
          <w:noProof/>
          <w:sz w:val="24"/>
        </w:rPr>
        <w:t xml:space="preserve"> s </w:t>
      </w:r>
      <w:r>
        <w:rPr>
          <w:rFonts w:ascii="Times New Roman" w:hAnsi="Times New Roman"/>
          <w:noProof/>
          <w:sz w:val="24"/>
        </w:rPr>
        <w:t>japonskými orgánmi</w:t>
      </w:r>
      <w:r w:rsidR="008C064E">
        <w:rPr>
          <w:rFonts w:ascii="Times New Roman" w:hAnsi="Times New Roman"/>
          <w:noProof/>
          <w:sz w:val="24"/>
        </w:rPr>
        <w:t xml:space="preserve"> v </w:t>
      </w:r>
      <w:r>
        <w:rPr>
          <w:rFonts w:ascii="Times New Roman" w:hAnsi="Times New Roman"/>
          <w:noProof/>
          <w:sz w:val="24"/>
        </w:rPr>
        <w:t>súvislosti</w:t>
      </w:r>
      <w:r w:rsidR="008C064E">
        <w:rPr>
          <w:rFonts w:ascii="Times New Roman" w:hAnsi="Times New Roman"/>
          <w:noProof/>
          <w:sz w:val="24"/>
        </w:rPr>
        <w:t xml:space="preserve"> s </w:t>
      </w:r>
      <w:r>
        <w:rPr>
          <w:rFonts w:ascii="Times New Roman" w:hAnsi="Times New Roman"/>
          <w:noProof/>
          <w:sz w:val="24"/>
        </w:rPr>
        <w:t>vývojom relevantným pre toto rozhodnutie</w:t>
      </w:r>
      <w:r>
        <w:rPr>
          <w:rStyle w:val="FootnoteReference"/>
          <w:rFonts w:ascii="Times New Roman" w:hAnsi="Times New Roman" w:cs="Times New Roman"/>
          <w:noProof/>
          <w:sz w:val="24"/>
          <w:szCs w:val="24"/>
        </w:rPr>
        <w:footnoteReference w:id="29"/>
      </w:r>
      <w:r>
        <w:rPr>
          <w:rFonts w:ascii="Times New Roman" w:hAnsi="Times New Roman"/>
          <w:noProof/>
          <w:sz w:val="24"/>
        </w:rPr>
        <w:t xml:space="preserve">, ako aj ďalšie posilnenie spolupráce na medzinárodnej úrovni. </w:t>
      </w:r>
    </w:p>
    <w:p w14:paraId="27E9A0C4" w14:textId="77777777" w:rsidR="00A66C72" w:rsidRPr="00A66C72" w:rsidRDefault="00A66C72" w:rsidP="00A66C72">
      <w:pPr>
        <w:pStyle w:val="ListParagraph"/>
        <w:ind w:left="360"/>
        <w:rPr>
          <w:rFonts w:ascii="Times New Roman" w:hAnsi="Times New Roman" w:cs="Times New Roman"/>
          <w:b/>
          <w:bCs/>
          <w:noProof/>
        </w:rPr>
      </w:pPr>
    </w:p>
    <w:sectPr w:rsidR="00A66C72" w:rsidRPr="00A66C72" w:rsidSect="005902FD">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BCEC5" w14:textId="77777777" w:rsidR="009C2208" w:rsidRDefault="009C2208" w:rsidP="00A66C72">
      <w:pPr>
        <w:spacing w:after="0" w:line="240" w:lineRule="auto"/>
      </w:pPr>
      <w:r>
        <w:separator/>
      </w:r>
    </w:p>
  </w:endnote>
  <w:endnote w:type="continuationSeparator" w:id="0">
    <w:p w14:paraId="39C4AFB2" w14:textId="77777777" w:rsidR="009C2208" w:rsidRDefault="009C2208" w:rsidP="00A6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B440A" w14:textId="62D07F5F" w:rsidR="00474613" w:rsidRPr="00220B49" w:rsidRDefault="00474613" w:rsidP="00220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C56D4" w14:textId="55B13139" w:rsidR="00474613" w:rsidRPr="00220B49" w:rsidRDefault="00220B49" w:rsidP="00220B49">
    <w:pPr>
      <w:pStyle w:val="FooterCoverPage"/>
      <w:rPr>
        <w:rFonts w:ascii="Arial" w:hAnsi="Arial" w:cs="Arial"/>
        <w:b/>
        <w:sz w:val="48"/>
      </w:rPr>
    </w:pPr>
    <w:r w:rsidRPr="00220B49">
      <w:rPr>
        <w:rFonts w:ascii="Arial" w:hAnsi="Arial" w:cs="Arial"/>
        <w:b/>
        <w:sz w:val="48"/>
      </w:rPr>
      <w:t>SK</w:t>
    </w:r>
    <w:r w:rsidRPr="00220B49">
      <w:rPr>
        <w:rFonts w:ascii="Arial" w:hAnsi="Arial" w:cs="Arial"/>
        <w:b/>
        <w:sz w:val="48"/>
      </w:rPr>
      <w:tab/>
    </w:r>
    <w:r w:rsidRPr="00220B49">
      <w:rPr>
        <w:rFonts w:ascii="Arial" w:hAnsi="Arial" w:cs="Arial"/>
        <w:b/>
        <w:sz w:val="48"/>
      </w:rPr>
      <w:tab/>
    </w:r>
    <w:r w:rsidRPr="00220B49">
      <w:tab/>
    </w:r>
    <w:r w:rsidRPr="00220B49">
      <w:rPr>
        <w:rFonts w:ascii="Arial" w:hAnsi="Arial" w:cs="Arial"/>
        <w:b/>
        <w:sz w:val="48"/>
      </w:rPr>
      <w:t>SK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B7FE0" w14:textId="77777777" w:rsidR="00220B49" w:rsidRPr="00220B49" w:rsidRDefault="00220B49" w:rsidP="00220B49">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E01F6" w14:textId="77777777" w:rsidR="004A3516" w:rsidRDefault="004A35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786421"/>
      <w:docPartObj>
        <w:docPartGallery w:val="Page Numbers (Bottom of Page)"/>
        <w:docPartUnique/>
      </w:docPartObj>
    </w:sdtPr>
    <w:sdtEndPr>
      <w:rPr>
        <w:noProof/>
      </w:rPr>
    </w:sdtEndPr>
    <w:sdtContent>
      <w:p w14:paraId="17D854C4" w14:textId="24B7C228" w:rsidR="004A3516" w:rsidRDefault="004A3516">
        <w:pPr>
          <w:pStyle w:val="Footer"/>
          <w:jc w:val="center"/>
        </w:pPr>
        <w:r>
          <w:fldChar w:fldCharType="begin"/>
        </w:r>
        <w:r>
          <w:instrText xml:space="preserve"> PAGE   \* MERGEFORMAT </w:instrText>
        </w:r>
        <w:r>
          <w:fldChar w:fldCharType="separate"/>
        </w:r>
        <w:r w:rsidR="00220B49">
          <w:rPr>
            <w:noProof/>
          </w:rPr>
          <w:t>1</w:t>
        </w:r>
        <w:r>
          <w:fldChar w:fldCharType="end"/>
        </w:r>
      </w:p>
    </w:sdtContent>
  </w:sdt>
  <w:p w14:paraId="6138952E" w14:textId="77777777" w:rsidR="004A3516" w:rsidRDefault="004A351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23495" w14:textId="77777777" w:rsidR="004A3516" w:rsidRDefault="004A3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B8816" w14:textId="77777777" w:rsidR="009C2208" w:rsidRDefault="009C2208" w:rsidP="00A66C72">
      <w:pPr>
        <w:spacing w:after="0" w:line="240" w:lineRule="auto"/>
      </w:pPr>
      <w:r>
        <w:separator/>
      </w:r>
    </w:p>
  </w:footnote>
  <w:footnote w:type="continuationSeparator" w:id="0">
    <w:p w14:paraId="2047DB0A" w14:textId="77777777" w:rsidR="009C2208" w:rsidRDefault="009C2208" w:rsidP="00A66C72">
      <w:pPr>
        <w:spacing w:after="0" w:line="240" w:lineRule="auto"/>
      </w:pPr>
      <w:r>
        <w:continuationSeparator/>
      </w:r>
    </w:p>
  </w:footnote>
  <w:footnote w:id="1">
    <w:p w14:paraId="4DF6E33B" w14:textId="1D81B08A" w:rsidR="004A3516" w:rsidRPr="001B0AE9" w:rsidRDefault="004A3516" w:rsidP="001B0AE9">
      <w:pPr>
        <w:pStyle w:val="Footnote"/>
        <w:jc w:val="both"/>
      </w:pPr>
      <w:r>
        <w:rPr>
          <w:rStyle w:val="FootnoteReference"/>
        </w:rPr>
        <w:footnoteRef/>
      </w:r>
      <w:r>
        <w:t xml:space="preserve"> </w:t>
      </w:r>
      <w:r>
        <w:tab/>
        <w:t>Ú. v. EÚ L 119, 4.5.2016, s. 1 (všeobecné nariadenie</w:t>
      </w:r>
      <w:r w:rsidR="008C064E">
        <w:t xml:space="preserve"> o </w:t>
      </w:r>
      <w:r>
        <w:t>ochrane údajov).</w:t>
      </w:r>
    </w:p>
  </w:footnote>
  <w:footnote w:id="2">
    <w:p w14:paraId="47BEE909" w14:textId="6864643B" w:rsidR="004A3516" w:rsidRPr="001B0AE9" w:rsidRDefault="004A3516" w:rsidP="001B0AE9">
      <w:pPr>
        <w:pStyle w:val="Footnote"/>
        <w:jc w:val="both"/>
      </w:pPr>
      <w:r>
        <w:rPr>
          <w:rStyle w:val="FootnoteReference"/>
        </w:rPr>
        <w:footnoteRef/>
      </w:r>
      <w:r>
        <w:t xml:space="preserve"> </w:t>
      </w:r>
      <w:r>
        <w:tab/>
        <w:t>V znení zákona</w:t>
      </w:r>
      <w:r w:rsidR="008C064E">
        <w:t xml:space="preserve"> o </w:t>
      </w:r>
      <w:r>
        <w:t>ochrane osobných informácií (ďalej len „zákon APPI“) platnom</w:t>
      </w:r>
      <w:r w:rsidR="008C064E">
        <w:t xml:space="preserve"> v </w:t>
      </w:r>
      <w:r>
        <w:t>čase prijatia rozhodnutia</w:t>
      </w:r>
      <w:r w:rsidR="008C064E">
        <w:t xml:space="preserve"> o </w:t>
      </w:r>
      <w:r>
        <w:t>primeranosti sa tento pojem označoval ako „hospodársky subjekt nakladajúci</w:t>
      </w:r>
      <w:r w:rsidR="008C064E">
        <w:t xml:space="preserve"> s </w:t>
      </w:r>
      <w:r>
        <w:t>osobnými informáciami“. Hospodársky subjekt nakladajúci</w:t>
      </w:r>
      <w:r w:rsidR="008C064E">
        <w:t xml:space="preserve"> s </w:t>
      </w:r>
      <w:r>
        <w:t>osobnými informáciami sa vymedzuje</w:t>
      </w:r>
      <w:r w:rsidR="008C064E">
        <w:t xml:space="preserve"> v </w:t>
      </w:r>
      <w:r>
        <w:t>článku 16 ods. 2 novelizovaného zákona APPI ako „osoba, ktorá používa databázu osobných informácií alebo jej ekvivalent na podnikateľské účely“,</w:t>
      </w:r>
      <w:r w:rsidR="008C064E">
        <w:t xml:space="preserve"> s </w:t>
      </w:r>
      <w:r>
        <w:t>výnimkou vládnych</w:t>
      </w:r>
      <w:r w:rsidR="008C064E">
        <w:t xml:space="preserve"> a </w:t>
      </w:r>
      <w:r>
        <w:t>správnych orgánov na ústrednej aj miestnej úrovni. Pojem „podnikanie“</w:t>
      </w:r>
      <w:r w:rsidR="008C064E">
        <w:t xml:space="preserve"> v </w:t>
      </w:r>
      <w:r>
        <w:t>zmysle zákona APPI je veľmi široký</w:t>
      </w:r>
      <w:r w:rsidR="008C064E">
        <w:t xml:space="preserve"> a </w:t>
      </w:r>
      <w:r>
        <w:t>zahŕňa nielen ziskové, ale aj neziskové činnosti vykonávané rôznymi typmi organizácií</w:t>
      </w:r>
      <w:r w:rsidR="008C064E">
        <w:t xml:space="preserve"> a </w:t>
      </w:r>
      <w:r>
        <w:t>fyzickými osobami. „Na účely podnikania“ sa okrem toho vzťahuje aj na osobné informácie, ktoré sa nepoužívajú vo (vonkajších) obchodných vzťahoch hospodárskeho subjektu, ale interne, ako je napríklad spracúvanie údajov</w:t>
      </w:r>
      <w:r w:rsidR="008C064E">
        <w:t xml:space="preserve"> o </w:t>
      </w:r>
      <w:r>
        <w:t xml:space="preserve">zamestnancoch. Pozri odôvodnenia 32 – 34 rozhodnutia. </w:t>
      </w:r>
    </w:p>
  </w:footnote>
  <w:footnote w:id="3">
    <w:p w14:paraId="54D6EC42" w14:textId="3EE71DEA" w:rsidR="00BC1349" w:rsidRPr="001B0AE9" w:rsidRDefault="00BC1349" w:rsidP="00BC1349">
      <w:pPr>
        <w:pStyle w:val="Footnote"/>
        <w:jc w:val="both"/>
      </w:pPr>
      <w:r>
        <w:rPr>
          <w:rStyle w:val="FootnoteReference"/>
        </w:rPr>
        <w:footnoteRef/>
      </w:r>
      <w:r>
        <w:t xml:space="preserve"> </w:t>
      </w:r>
      <w:r>
        <w:tab/>
        <w:t>Vykonávacie rozhodnutie Komisie (EÚ) 2019/419</w:t>
      </w:r>
      <w:r w:rsidR="008C064E">
        <w:t xml:space="preserve"> z </w:t>
      </w:r>
      <w:r>
        <w:t>23. januára 2019 podľa nariadenia Európskeho parlamentu</w:t>
      </w:r>
      <w:r w:rsidR="008C064E">
        <w:t xml:space="preserve"> a </w:t>
      </w:r>
      <w:r>
        <w:t>Rady (EÚ) 2016/679</w:t>
      </w:r>
      <w:r w:rsidR="008C064E">
        <w:t xml:space="preserve"> o </w:t>
      </w:r>
      <w:r>
        <w:t>primeranej ochrane osobných údajov zo strany Japonska na základe zákona</w:t>
      </w:r>
      <w:r w:rsidR="008C064E">
        <w:t xml:space="preserve"> o </w:t>
      </w:r>
      <w:r>
        <w:t>ochrane osobných informácií (Ú. v. EÚ L 76, 19.3.2019, s. 1).</w:t>
      </w:r>
    </w:p>
  </w:footnote>
  <w:footnote w:id="4">
    <w:p w14:paraId="01FECE26" w14:textId="102BA2F5" w:rsidR="004A3516" w:rsidRPr="001B0AE9" w:rsidRDefault="004A3516" w:rsidP="001B0AE9">
      <w:pPr>
        <w:pStyle w:val="Footnote"/>
        <w:jc w:val="both"/>
      </w:pPr>
      <w:r>
        <w:rPr>
          <w:rStyle w:val="FootnoteReference"/>
        </w:rPr>
        <w:footnoteRef/>
      </w:r>
      <w:r>
        <w:t xml:space="preserve"> </w:t>
      </w:r>
      <w:r>
        <w:tab/>
        <w:t>Pozri článok 45 všeobecného nariadenia</w:t>
      </w:r>
      <w:r w:rsidR="008C064E">
        <w:t xml:space="preserve"> o </w:t>
      </w:r>
      <w:r>
        <w:t>ochrane údajov</w:t>
      </w:r>
      <w:r w:rsidR="008C064E">
        <w:t xml:space="preserve"> a </w:t>
      </w:r>
      <w:r>
        <w:t xml:space="preserve">odôvodnenie 5 rozhodnutia. </w:t>
      </w:r>
    </w:p>
  </w:footnote>
  <w:footnote w:id="5">
    <w:p w14:paraId="2DAEB7CA" w14:textId="0283A782" w:rsidR="004A3516" w:rsidRPr="006020A8" w:rsidRDefault="004A3516" w:rsidP="001B0AE9">
      <w:pPr>
        <w:pStyle w:val="Footnote"/>
        <w:jc w:val="both"/>
      </w:pPr>
      <w:r>
        <w:rPr>
          <w:rStyle w:val="FootnoteReference"/>
        </w:rPr>
        <w:footnoteRef/>
      </w:r>
      <w:r>
        <w:t xml:space="preserve"> </w:t>
      </w:r>
      <w:r>
        <w:tab/>
        <w:t>Pozri prílohu</w:t>
      </w:r>
      <w:r w:rsidR="008C064E">
        <w:t xml:space="preserve"> I k </w:t>
      </w:r>
      <w:r>
        <w:t>rozhodnutiu.</w:t>
      </w:r>
    </w:p>
  </w:footnote>
  <w:footnote w:id="6">
    <w:p w14:paraId="4EBBD008" w14:textId="3BF05774" w:rsidR="00E55B38" w:rsidRPr="00E55B38" w:rsidRDefault="00E55B38" w:rsidP="00E55B38">
      <w:pPr>
        <w:pStyle w:val="FootnoteText"/>
        <w:ind w:left="284" w:hanging="284"/>
        <w:jc w:val="both"/>
      </w:pPr>
      <w:r>
        <w:rPr>
          <w:rStyle w:val="FootnoteReference"/>
        </w:rPr>
        <w:footnoteRef/>
      </w:r>
      <w:r>
        <w:t xml:space="preserve"> </w:t>
      </w:r>
      <w:r>
        <w:tab/>
      </w:r>
      <w:r>
        <w:rPr>
          <w:rFonts w:ascii="Times New Roman" w:hAnsi="Times New Roman"/>
        </w:rPr>
        <w:t>V novele zákona APPI</w:t>
      </w:r>
      <w:r w:rsidR="008C064E">
        <w:rPr>
          <w:rFonts w:ascii="Times New Roman" w:hAnsi="Times New Roman"/>
        </w:rPr>
        <w:t xml:space="preserve"> z </w:t>
      </w:r>
      <w:r>
        <w:rPr>
          <w:rFonts w:ascii="Times New Roman" w:hAnsi="Times New Roman"/>
        </w:rPr>
        <w:t>roku 2020 sa medzičasom prehodnotilo vymedzenie pojmu „osobné údaje, ktoré podnik uchováva“, tak, aby</w:t>
      </w:r>
      <w:r w:rsidR="008C064E">
        <w:rPr>
          <w:rFonts w:ascii="Times New Roman" w:hAnsi="Times New Roman"/>
        </w:rPr>
        <w:t xml:space="preserve"> z </w:t>
      </w:r>
      <w:r>
        <w:rPr>
          <w:rFonts w:ascii="Times New Roman" w:hAnsi="Times New Roman"/>
        </w:rPr>
        <w:t>neho už neboli vylúčené osobné údaje, ktoré „sa majú vymazať“</w:t>
      </w:r>
      <w:r w:rsidR="008C064E">
        <w:rPr>
          <w:rFonts w:ascii="Times New Roman" w:hAnsi="Times New Roman"/>
        </w:rPr>
        <w:t xml:space="preserve"> v </w:t>
      </w:r>
      <w:r>
        <w:rPr>
          <w:rFonts w:ascii="Times New Roman" w:hAnsi="Times New Roman"/>
        </w:rPr>
        <w:t>lehote do šiestich mesiacov (článok 16 ods. 4 zmeneného zákona APPI).</w:t>
      </w:r>
      <w:r w:rsidR="008C064E">
        <w:rPr>
          <w:rFonts w:ascii="Times New Roman" w:hAnsi="Times New Roman"/>
        </w:rPr>
        <w:t xml:space="preserve"> V </w:t>
      </w:r>
      <w:r>
        <w:rPr>
          <w:rFonts w:ascii="Times New Roman" w:hAnsi="Times New Roman"/>
        </w:rPr>
        <w:t>znení zákona APPI platnom</w:t>
      </w:r>
      <w:r w:rsidR="008C064E">
        <w:rPr>
          <w:rFonts w:ascii="Times New Roman" w:hAnsi="Times New Roman"/>
        </w:rPr>
        <w:t xml:space="preserve"> v </w:t>
      </w:r>
      <w:r>
        <w:rPr>
          <w:rFonts w:ascii="Times New Roman" w:hAnsi="Times New Roman"/>
        </w:rPr>
        <w:t>čase prijatia rozhodnutia</w:t>
      </w:r>
      <w:r w:rsidR="008C064E">
        <w:rPr>
          <w:rFonts w:ascii="Times New Roman" w:hAnsi="Times New Roman"/>
        </w:rPr>
        <w:t xml:space="preserve"> o </w:t>
      </w:r>
      <w:r>
        <w:rPr>
          <w:rFonts w:ascii="Times New Roman" w:hAnsi="Times New Roman"/>
        </w:rPr>
        <w:t xml:space="preserve">primeranosti sa tento pojem označoval ako „uchovávané osobné údaje“. </w:t>
      </w:r>
    </w:p>
  </w:footnote>
  <w:footnote w:id="7">
    <w:p w14:paraId="4D78A935" w14:textId="19742B4E" w:rsidR="004A3516" w:rsidRPr="001B0AE9" w:rsidRDefault="004A3516" w:rsidP="001B0AE9">
      <w:pPr>
        <w:pStyle w:val="Footnote"/>
        <w:jc w:val="both"/>
      </w:pPr>
      <w:r>
        <w:rPr>
          <w:rStyle w:val="FootnoteReference"/>
        </w:rPr>
        <w:footnoteRef/>
      </w:r>
      <w:r>
        <w:t xml:space="preserve"> </w:t>
      </w:r>
      <w:r>
        <w:tab/>
        <w:t>Odôvodnenia 26, 31, 43, 49 – 51, 63, 68, 71, 76 – 79</w:t>
      </w:r>
      <w:r w:rsidR="008C064E">
        <w:t xml:space="preserve"> a </w:t>
      </w:r>
      <w:r>
        <w:t xml:space="preserve">101 rozhodnutia. </w:t>
      </w:r>
    </w:p>
  </w:footnote>
  <w:footnote w:id="8">
    <w:p w14:paraId="29002CF3" w14:textId="77777777" w:rsidR="004A3516" w:rsidRPr="001B0AE9" w:rsidRDefault="004A3516" w:rsidP="001B0AE9">
      <w:pPr>
        <w:pStyle w:val="Footnote"/>
        <w:jc w:val="both"/>
      </w:pPr>
      <w:r>
        <w:rPr>
          <w:rStyle w:val="FootnoteReference"/>
        </w:rPr>
        <w:footnoteRef/>
      </w:r>
      <w:r>
        <w:t xml:space="preserve"> </w:t>
      </w:r>
      <w:r>
        <w:tab/>
        <w:t xml:space="preserve">Odôvodnenie 15 rozhodnutia. </w:t>
      </w:r>
    </w:p>
  </w:footnote>
  <w:footnote w:id="9">
    <w:p w14:paraId="4C4854F9" w14:textId="69609832" w:rsidR="004A3516" w:rsidRPr="001B0AE9" w:rsidRDefault="004A3516" w:rsidP="001B0AE9">
      <w:pPr>
        <w:pStyle w:val="Footnote"/>
        <w:jc w:val="both"/>
      </w:pPr>
      <w:r>
        <w:rPr>
          <w:rStyle w:val="FootnoteReference"/>
        </w:rPr>
        <w:footnoteRef/>
      </w:r>
      <w:r>
        <w:t xml:space="preserve"> </w:t>
      </w:r>
      <w:r>
        <w:tab/>
        <w:t>Odôvodnenia 113 – 170</w:t>
      </w:r>
      <w:r w:rsidR="008C064E">
        <w:t xml:space="preserve"> a </w:t>
      </w:r>
      <w:r>
        <w:t>príloha II</w:t>
      </w:r>
      <w:r w:rsidR="008C064E">
        <w:t xml:space="preserve"> k </w:t>
      </w:r>
      <w:r>
        <w:t xml:space="preserve">rozhodnutiu. </w:t>
      </w:r>
    </w:p>
  </w:footnote>
  <w:footnote w:id="10">
    <w:p w14:paraId="0DF0BEDC" w14:textId="77777777" w:rsidR="004A3516" w:rsidRPr="001B0AE9" w:rsidRDefault="004A3516" w:rsidP="001B0AE9">
      <w:pPr>
        <w:pStyle w:val="Footnote"/>
        <w:jc w:val="both"/>
      </w:pPr>
      <w:r>
        <w:rPr>
          <w:rStyle w:val="FootnoteReference"/>
        </w:rPr>
        <w:footnoteRef/>
      </w:r>
      <w:r>
        <w:t xml:space="preserve"> </w:t>
      </w:r>
      <w:r>
        <w:tab/>
        <w:t xml:space="preserve">Odôvodnenia 141 – 144, 149, 169 rozhodnutia. </w:t>
      </w:r>
    </w:p>
  </w:footnote>
  <w:footnote w:id="11">
    <w:p w14:paraId="3B7B72B2" w14:textId="5923C702" w:rsidR="00BC1349" w:rsidRPr="001B0AE9" w:rsidRDefault="00BC1349" w:rsidP="00BC1349">
      <w:pPr>
        <w:pStyle w:val="Footnote"/>
        <w:jc w:val="both"/>
      </w:pPr>
      <w:r>
        <w:rPr>
          <w:rStyle w:val="FootnoteReference"/>
        </w:rPr>
        <w:footnoteRef/>
      </w:r>
      <w:r w:rsidR="008C064E">
        <w:tab/>
      </w:r>
      <w:r>
        <w:t>Pozri tlačovú správu vydanú po ukončení týchto rozhovorov,</w:t>
      </w:r>
      <w:r w:rsidR="008C064E">
        <w:t xml:space="preserve"> k </w:t>
      </w:r>
      <w:r>
        <w:t xml:space="preserve">dispozícii na adrese: </w:t>
      </w:r>
      <w:hyperlink r:id="rId1" w:history="1">
        <w:r>
          <w:rPr>
            <w:rStyle w:val="Hyperlink"/>
          </w:rPr>
          <w:t>https://ec.europa.eu/commission/presscorner/detail/sk/IP_18_4501</w:t>
        </w:r>
      </w:hyperlink>
    </w:p>
  </w:footnote>
  <w:footnote w:id="12">
    <w:p w14:paraId="36F66172" w14:textId="68DF82A8" w:rsidR="004A3516" w:rsidRPr="001B0AE9" w:rsidRDefault="004A3516" w:rsidP="001B0AE9">
      <w:pPr>
        <w:pStyle w:val="Footnote"/>
        <w:jc w:val="both"/>
      </w:pPr>
      <w:r>
        <w:rPr>
          <w:rStyle w:val="FootnoteReference"/>
        </w:rPr>
        <w:footnoteRef/>
      </w:r>
      <w:r>
        <w:t xml:space="preserve"> </w:t>
      </w:r>
      <w:r>
        <w:tab/>
        <w:t>Rozhodnutie Rady (EÚ) 2018/1907</w:t>
      </w:r>
      <w:r w:rsidR="008C064E">
        <w:t xml:space="preserve"> z </w:t>
      </w:r>
      <w:r>
        <w:t>20. decembra 2018</w:t>
      </w:r>
      <w:r w:rsidR="008C064E">
        <w:t xml:space="preserve"> o </w:t>
      </w:r>
      <w:r>
        <w:t>uzavretí Dohody medzi Európskou úniou</w:t>
      </w:r>
      <w:r w:rsidR="008C064E">
        <w:t xml:space="preserve"> a </w:t>
      </w:r>
      <w:r>
        <w:t>Japonskom</w:t>
      </w:r>
      <w:r w:rsidR="008C064E">
        <w:t xml:space="preserve"> o </w:t>
      </w:r>
      <w:r>
        <w:t>hospodárskom partnerstve (Ú. v. EÚ L 330, 27.12.2018, s. 1 – 2). Dohoda EPA znižuje obchodné prekážky, ktorým čelia európske firmy pri vývoze do Japonska,</w:t>
      </w:r>
      <w:r w:rsidR="008C064E">
        <w:t xml:space="preserve"> a </w:t>
      </w:r>
      <w:r>
        <w:t>pomáha im byť konkurencieschopnejšími na tomto trhu.</w:t>
      </w:r>
    </w:p>
  </w:footnote>
  <w:footnote w:id="13">
    <w:p w14:paraId="58DCB9F9" w14:textId="259F6081" w:rsidR="004A3516" w:rsidRPr="001B0AE9" w:rsidRDefault="004A3516" w:rsidP="001B0AE9">
      <w:pPr>
        <w:pStyle w:val="Footnote"/>
        <w:jc w:val="both"/>
      </w:pPr>
      <w:r>
        <w:rPr>
          <w:rStyle w:val="FootnoteReference"/>
        </w:rPr>
        <w:footnoteRef/>
      </w:r>
      <w:r>
        <w:t xml:space="preserve"> </w:t>
      </w:r>
      <w:r>
        <w:tab/>
        <w:t>Dohoda</w:t>
      </w:r>
      <w:r w:rsidR="008C064E">
        <w:t xml:space="preserve"> o </w:t>
      </w:r>
      <w:r>
        <w:t>strategickom partnerstve medzi Európskou úniou</w:t>
      </w:r>
      <w:r w:rsidR="008C064E">
        <w:t xml:space="preserve"> a </w:t>
      </w:r>
      <w:r>
        <w:t>jej členskými štátmi na jednej strane</w:t>
      </w:r>
      <w:r w:rsidR="008C064E">
        <w:t xml:space="preserve"> a </w:t>
      </w:r>
      <w:r>
        <w:t>Japonskom na strane druhej (Ú. v. EÚ L 216, 24.8.2018, s. 4 – 22). Dohoda</w:t>
      </w:r>
      <w:r w:rsidR="008C064E">
        <w:t xml:space="preserve"> o </w:t>
      </w:r>
      <w:r>
        <w:t>strategickom partnerstve poskytuje právny rámec na ďalší rozvoj už dnes dlhotrvajúceho</w:t>
      </w:r>
      <w:r w:rsidR="008C064E">
        <w:t xml:space="preserve"> a </w:t>
      </w:r>
      <w:r>
        <w:t>silného partnerstva medzi Úniou, jej členskými štátmi</w:t>
      </w:r>
      <w:r w:rsidR="008C064E">
        <w:t xml:space="preserve"> a </w:t>
      </w:r>
      <w:r>
        <w:t>Japonskom,</w:t>
      </w:r>
      <w:r w:rsidR="008C064E">
        <w:t xml:space="preserve"> a </w:t>
      </w:r>
      <w:r>
        <w:t>to</w:t>
      </w:r>
      <w:r w:rsidR="008C064E">
        <w:t xml:space="preserve"> v </w:t>
      </w:r>
      <w:r>
        <w:t>najrôznejších oblastiach vrátane politického dialógu, energetiky, dopravy, ľudských práv, vzdelávania, vedy</w:t>
      </w:r>
      <w:r w:rsidR="008C064E">
        <w:t xml:space="preserve"> a </w:t>
      </w:r>
      <w:r>
        <w:t>technológie, spravodlivosti, azylu</w:t>
      </w:r>
      <w:r w:rsidR="008C064E">
        <w:t xml:space="preserve"> a </w:t>
      </w:r>
      <w:r>
        <w:t>migrácie.</w:t>
      </w:r>
    </w:p>
  </w:footnote>
  <w:footnote w:id="14">
    <w:p w14:paraId="51AAD4DB" w14:textId="4CC21572" w:rsidR="004A3516" w:rsidRPr="001B0AE9" w:rsidRDefault="004A3516" w:rsidP="008C064E">
      <w:pPr>
        <w:pStyle w:val="Footnote"/>
      </w:pPr>
      <w:r>
        <w:rPr>
          <w:rStyle w:val="FootnoteReference"/>
        </w:rPr>
        <w:footnoteRef/>
      </w:r>
      <w:r>
        <w:t xml:space="preserve"> </w:t>
      </w:r>
      <w:r>
        <w:tab/>
        <w:t xml:space="preserve">Dostupné na adrese: </w:t>
      </w:r>
      <w:bookmarkStart w:id="3" w:name="_Hlk129296737"/>
      <w:r>
        <w:fldChar w:fldCharType="begin"/>
      </w:r>
      <w:r>
        <w:instrText xml:space="preserve"> HYPERLINK "https://www.consilium.europa.eu/media/56091/%E6%9C%80%E7%B5%82%E7%89%88-jp-eu-digital-partnership-clean-final-docx.pdf" </w:instrText>
      </w:r>
      <w:r>
        <w:fldChar w:fldCharType="separate"/>
      </w:r>
      <w:r>
        <w:rPr>
          <w:rStyle w:val="Hyperlink"/>
        </w:rPr>
        <w:t>https://www.consilium.europa.eu/media/56091/%E6%9C%80%E7%B5%82%E7%89%88-jp-eu-digital-partnership-clean-final-docx.pdf</w:t>
      </w:r>
      <w:r>
        <w:rPr>
          <w:rStyle w:val="Hyperlink"/>
        </w:rPr>
        <w:fldChar w:fldCharType="end"/>
      </w:r>
      <w:bookmarkEnd w:id="3"/>
      <w:r>
        <w:t>. Digitálne partnerstvo vytvára fórum, ktoré poskytne politické vedenie</w:t>
      </w:r>
      <w:r w:rsidR="008C064E">
        <w:t xml:space="preserve"> a </w:t>
      </w:r>
      <w:r>
        <w:t>stimul</w:t>
      </w:r>
      <w:r w:rsidR="008C064E">
        <w:t xml:space="preserve"> v </w:t>
      </w:r>
      <w:r>
        <w:t>súvislosti so spoločnou prácou na digitálnych technológiách</w:t>
      </w:r>
      <w:r w:rsidR="008C064E">
        <w:t xml:space="preserve"> v </w:t>
      </w:r>
      <w:r>
        <w:t>oblastiach, ako sú technológie 5G, technológie nad rámec 5G/ technológie 6G, bezpečné</w:t>
      </w:r>
      <w:r w:rsidR="008C064E">
        <w:t xml:space="preserve"> a </w:t>
      </w:r>
      <w:r>
        <w:t>etické aplikácie umelej inteligencie alebo odolnosť svetových dodávateľských reťazcov</w:t>
      </w:r>
      <w:r w:rsidR="008C064E">
        <w:t xml:space="preserve"> v </w:t>
      </w:r>
      <w:r>
        <w:t>odvetví polovodičov.</w:t>
      </w:r>
      <w:r w:rsidR="008C064E">
        <w:t xml:space="preserve"> </w:t>
      </w:r>
    </w:p>
  </w:footnote>
  <w:footnote w:id="15">
    <w:p w14:paraId="431038BB" w14:textId="024A1E94" w:rsidR="004A3516" w:rsidRPr="001B0AE9" w:rsidRDefault="004A3516" w:rsidP="001B0AE9">
      <w:pPr>
        <w:pStyle w:val="Footnote"/>
        <w:jc w:val="both"/>
      </w:pPr>
      <w:r>
        <w:rPr>
          <w:rStyle w:val="FootnoteReference"/>
        </w:rPr>
        <w:footnoteRef/>
      </w:r>
      <w:r>
        <w:t xml:space="preserve"> </w:t>
      </w:r>
      <w:r>
        <w:tab/>
        <w:t xml:space="preserve">Pozri napr. </w:t>
      </w:r>
      <w:hyperlink r:id="rId2" w:history="1">
        <w:r>
          <w:rPr>
            <w:rStyle w:val="Hyperlink"/>
          </w:rPr>
          <w:t>https://policy.trade.ec.europa.eu/news/eu-and-japan-start-negotiations-include-rules-cross-border-data-flows-their-economic-partnership-2022-10-07_en</w:t>
        </w:r>
      </w:hyperlink>
      <w:r>
        <w:t xml:space="preserve">. </w:t>
      </w:r>
    </w:p>
  </w:footnote>
  <w:footnote w:id="16">
    <w:p w14:paraId="605D2BB5" w14:textId="68F8E840" w:rsidR="004A3516" w:rsidRPr="006020A8" w:rsidRDefault="004A3516" w:rsidP="001B0AE9">
      <w:pPr>
        <w:pStyle w:val="Footnote"/>
        <w:jc w:val="both"/>
      </w:pPr>
      <w:r>
        <w:rPr>
          <w:rStyle w:val="FootnoteReference"/>
        </w:rPr>
        <w:footnoteRef/>
      </w:r>
      <w:r>
        <w:t xml:space="preserve"> </w:t>
      </w:r>
      <w:r>
        <w:tab/>
        <w:t>Vyhlásenie OECD zo 14. decembra 2022</w:t>
      </w:r>
      <w:r w:rsidR="008C064E">
        <w:t xml:space="preserve"> o </w:t>
      </w:r>
      <w:r>
        <w:t>prístupe vlády</w:t>
      </w:r>
      <w:r w:rsidR="008C064E">
        <w:t xml:space="preserve"> k </w:t>
      </w:r>
      <w:r>
        <w:t>osobným údajom uchovávaným subjektmi súkromného sektora.</w:t>
      </w:r>
    </w:p>
  </w:footnote>
  <w:footnote w:id="17">
    <w:p w14:paraId="63CE0513" w14:textId="2198852A" w:rsidR="00BC1349" w:rsidRPr="001B0AE9" w:rsidRDefault="00BC1349" w:rsidP="00BC1349">
      <w:pPr>
        <w:pStyle w:val="Footnote"/>
        <w:jc w:val="both"/>
      </w:pPr>
      <w:r>
        <w:rPr>
          <w:rStyle w:val="FootnoteReference"/>
        </w:rPr>
        <w:footnoteRef/>
      </w:r>
      <w:r>
        <w:t xml:space="preserve"> </w:t>
      </w:r>
      <w:r>
        <w:tab/>
        <w:t>Odôvodnenia 180 – 183</w:t>
      </w:r>
      <w:r w:rsidR="008C064E">
        <w:t xml:space="preserve"> a </w:t>
      </w:r>
      <w:r>
        <w:t xml:space="preserve">článok 3 ods. 4 rozhodnutia. </w:t>
      </w:r>
    </w:p>
  </w:footnote>
  <w:footnote w:id="18">
    <w:p w14:paraId="2619CE5C" w14:textId="7CD00223" w:rsidR="00B37707" w:rsidRPr="001B0AE9" w:rsidRDefault="00B37707" w:rsidP="001B0AE9">
      <w:pPr>
        <w:pStyle w:val="Footnote"/>
        <w:jc w:val="both"/>
      </w:pPr>
      <w:r>
        <w:rPr>
          <w:rStyle w:val="FootnoteReference"/>
        </w:rPr>
        <w:footnoteRef/>
      </w:r>
      <w:r>
        <w:t xml:space="preserve"> </w:t>
      </w:r>
      <w:r>
        <w:tab/>
        <w:t>Anglický preklad je</w:t>
      </w:r>
      <w:r w:rsidR="008C064E">
        <w:t xml:space="preserve"> k </w:t>
      </w:r>
      <w:r>
        <w:t xml:space="preserve">dispozícii na adrese: </w:t>
      </w:r>
      <w:hyperlink r:id="rId3" w:history="1">
        <w:r>
          <w:rPr>
            <w:rStyle w:val="Hyperlink"/>
          </w:rPr>
          <w:t>https://www.ppc.go.jp/files/pdf/APPI_english.pdf</w:t>
        </w:r>
      </w:hyperlink>
      <w:r>
        <w:t xml:space="preserve"> </w:t>
      </w:r>
    </w:p>
  </w:footnote>
  <w:footnote w:id="19">
    <w:p w14:paraId="470E5A51" w14:textId="3687ED42" w:rsidR="00B37707" w:rsidRPr="001B0AE9" w:rsidRDefault="00B37707" w:rsidP="001B0AE9">
      <w:pPr>
        <w:pStyle w:val="Footnote"/>
        <w:jc w:val="both"/>
      </w:pPr>
      <w:r>
        <w:rPr>
          <w:rStyle w:val="FootnoteReference"/>
        </w:rPr>
        <w:footnoteRef/>
      </w:r>
      <w:r>
        <w:t xml:space="preserve"> </w:t>
      </w:r>
      <w:r>
        <w:tab/>
        <w:t>Anglický preklad je</w:t>
      </w:r>
      <w:r w:rsidR="008C064E">
        <w:t xml:space="preserve"> k </w:t>
      </w:r>
      <w:r>
        <w:t xml:space="preserve">dispozícii na adrese: </w:t>
      </w:r>
      <w:hyperlink r:id="rId4" w:history="1">
        <w:r>
          <w:rPr>
            <w:rStyle w:val="Hyperlink"/>
          </w:rPr>
          <w:t>https://www.japaneselawtranslation.go.jp/ja/laws/view/4241</w:t>
        </w:r>
      </w:hyperlink>
    </w:p>
  </w:footnote>
  <w:footnote w:id="20">
    <w:p w14:paraId="528CDFA2" w14:textId="7A5E1DD3" w:rsidR="00B37707" w:rsidRPr="00632F5F" w:rsidRDefault="00B37707" w:rsidP="001B0AE9">
      <w:pPr>
        <w:pStyle w:val="Footnote"/>
        <w:jc w:val="both"/>
      </w:pPr>
      <w:r>
        <w:rPr>
          <w:rStyle w:val="FootnoteReference"/>
        </w:rPr>
        <w:footnoteRef/>
      </w:r>
      <w:r>
        <w:t xml:space="preserve"> </w:t>
      </w:r>
      <w:r>
        <w:tab/>
        <w:t>Článok 16 ods. 4</w:t>
      </w:r>
      <w:r w:rsidR="008C064E">
        <w:t xml:space="preserve"> a </w:t>
      </w:r>
      <w:r>
        <w:t xml:space="preserve">článok 28 ods. 2 novelizovaného zákona APPI. </w:t>
      </w:r>
    </w:p>
  </w:footnote>
  <w:footnote w:id="21">
    <w:p w14:paraId="54382598" w14:textId="789DF70C" w:rsidR="001B0AE9" w:rsidRPr="00632F5F" w:rsidRDefault="001B0AE9" w:rsidP="001B0AE9">
      <w:pPr>
        <w:pStyle w:val="Footnote"/>
        <w:jc w:val="both"/>
      </w:pPr>
      <w:r>
        <w:rPr>
          <w:rStyle w:val="FootnoteReference"/>
        </w:rPr>
        <w:footnoteRef/>
      </w:r>
      <w:r>
        <w:t xml:space="preserve"> </w:t>
      </w:r>
      <w:r>
        <w:tab/>
        <w:t>V novele zákona APPI</w:t>
      </w:r>
      <w:r w:rsidR="008C064E">
        <w:t xml:space="preserve"> z </w:t>
      </w:r>
      <w:r>
        <w:t>roku 2021 sa konkrétne konsoliduje zákon APPI, zákon</w:t>
      </w:r>
      <w:r w:rsidR="008C064E">
        <w:t xml:space="preserve"> o </w:t>
      </w:r>
      <w:r>
        <w:t>ochrane osobných informácií uchovávaných správnymi orgánmi</w:t>
      </w:r>
      <w:r w:rsidR="008C064E">
        <w:t xml:space="preserve"> a </w:t>
      </w:r>
      <w:r>
        <w:t>zákon</w:t>
      </w:r>
      <w:r w:rsidR="008C064E">
        <w:t xml:space="preserve"> o </w:t>
      </w:r>
      <w:r>
        <w:t>ochrane osobných informácií uchovávaných nezávislými správnymi orgánmi atď. do jediného zákona</w:t>
      </w:r>
      <w:r w:rsidR="008C064E">
        <w:t xml:space="preserve"> o </w:t>
      </w:r>
      <w:r>
        <w:t>ochrane údajov, ktorý sa uplatňuje na súkromné subjekty aj orgány verejnej moci, pričom sa náležite rozširuje právomoc Komisie pre ochranu osobných informácií. Táto novela nadobudla účinnosť 1. apríla 2023,</w:t>
      </w:r>
      <w:r w:rsidR="008C064E">
        <w:t xml:space="preserve"> a </w:t>
      </w:r>
      <w:r>
        <w:t>to po nadobudnutí účinnosti jej častí 1. septembra 2021</w:t>
      </w:r>
      <w:r w:rsidR="008C064E">
        <w:t xml:space="preserve"> a </w:t>
      </w:r>
      <w:r>
        <w:t>1. apríla 2022.</w:t>
      </w:r>
    </w:p>
  </w:footnote>
  <w:footnote w:id="22">
    <w:p w14:paraId="684FABF2" w14:textId="05BFE153" w:rsidR="004A3516" w:rsidRPr="00632F5F" w:rsidRDefault="004A3516" w:rsidP="001B0AE9">
      <w:pPr>
        <w:pStyle w:val="Footnote"/>
        <w:jc w:val="both"/>
      </w:pPr>
      <w:r>
        <w:rPr>
          <w:rStyle w:val="FootnoteReference"/>
        </w:rPr>
        <w:footnoteRef/>
      </w:r>
      <w:r>
        <w:t xml:space="preserve"> </w:t>
      </w:r>
      <w:r>
        <w:tab/>
        <w:t>Pseudonymizované osobné informácie sú vymedzené</w:t>
      </w:r>
      <w:r w:rsidR="008C064E">
        <w:t xml:space="preserve"> v </w:t>
      </w:r>
      <w:r>
        <w:t xml:space="preserve">novelizovanom zákone APPI ako </w:t>
      </w:r>
      <w:bookmarkStart w:id="4" w:name="_Hlk116373501"/>
      <w:r>
        <w:t>informácie týkajúce sa fyzickej osoby, ktoré možno „zostaviť tak, že nebude možné identifikovať konkrétnu fyzickú osobu bez toho, aby boli spojené</w:t>
      </w:r>
      <w:r w:rsidR="008C064E">
        <w:t xml:space="preserve"> s </w:t>
      </w:r>
      <w:r>
        <w:t>inými informáciami“,</w:t>
      </w:r>
      <w:r w:rsidR="008C064E">
        <w:t xml:space="preserve"> a </w:t>
      </w:r>
      <w:r>
        <w:t>to prostredníctvom opatrení stanovených</w:t>
      </w:r>
      <w:r w:rsidR="008C064E">
        <w:t xml:space="preserve"> v </w:t>
      </w:r>
      <w:r>
        <w:t>zákone</w:t>
      </w:r>
      <w:r w:rsidR="008C064E">
        <w:t xml:space="preserve"> a </w:t>
      </w:r>
      <w:r>
        <w:t>spresnených</w:t>
      </w:r>
      <w:r w:rsidR="008C064E">
        <w:t xml:space="preserve"> v </w:t>
      </w:r>
      <w:r>
        <w:t xml:space="preserve">pravidlách presadzovania. </w:t>
      </w:r>
      <w:bookmarkEnd w:id="4"/>
      <w:r>
        <w:t>Pozri článok 16 ods. 5</w:t>
      </w:r>
      <w:r w:rsidR="008C064E">
        <w:t xml:space="preserve"> a </w:t>
      </w:r>
      <w:r>
        <w:t>článok 41 novelizovaného zákona APPI.</w:t>
      </w:r>
    </w:p>
  </w:footnote>
  <w:footnote w:id="23">
    <w:p w14:paraId="0B92130F" w14:textId="4985965F" w:rsidR="001B6AB0" w:rsidRPr="001E3BA7" w:rsidRDefault="001B6AB0" w:rsidP="001B6AB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Revidované doplňujúce pravidlá boli prijaté Komisiou pre ochranu osobných informácií 15. marca 2023</w:t>
      </w:r>
      <w:r w:rsidR="008C064E">
        <w:rPr>
          <w:rFonts w:ascii="Times New Roman" w:hAnsi="Times New Roman"/>
        </w:rPr>
        <w:t xml:space="preserve"> a </w:t>
      </w:r>
      <w:r>
        <w:rPr>
          <w:rFonts w:ascii="Times New Roman" w:hAnsi="Times New Roman"/>
        </w:rPr>
        <w:t>nadobudli účinnosť 1. apríla 2023.</w:t>
      </w:r>
    </w:p>
  </w:footnote>
  <w:footnote w:id="24">
    <w:p w14:paraId="7DF05976" w14:textId="77796334" w:rsidR="004A3516" w:rsidRPr="001B0AE9" w:rsidRDefault="004A3516" w:rsidP="001B0AE9">
      <w:pPr>
        <w:pStyle w:val="Footnote"/>
        <w:jc w:val="both"/>
      </w:pPr>
      <w:r>
        <w:rPr>
          <w:rStyle w:val="FootnoteReference"/>
        </w:rPr>
        <w:footnoteRef/>
      </w:r>
      <w:r>
        <w:t xml:space="preserve"> </w:t>
      </w:r>
      <w:r>
        <w:tab/>
        <w:t>To vylučuje uplatňovanie článku 42 novelizovaného zákona APPI, ktorý zachováva obmedzený počet záruk</w:t>
      </w:r>
      <w:r w:rsidR="008C064E">
        <w:t xml:space="preserve"> v </w:t>
      </w:r>
      <w:r>
        <w:t xml:space="preserve">prípade pseudonymizovaných osobných informácií, ktoré sa nepovažujú za osobné informácie. </w:t>
      </w:r>
    </w:p>
  </w:footnote>
  <w:footnote w:id="25">
    <w:p w14:paraId="7CD60FF8" w14:textId="63E173BC" w:rsidR="003B1364" w:rsidRPr="00632F5F" w:rsidRDefault="003B1364" w:rsidP="003B1364">
      <w:pPr>
        <w:pStyle w:val="FootnoteText"/>
        <w:ind w:left="284" w:hanging="284"/>
      </w:pPr>
      <w:r>
        <w:rPr>
          <w:rStyle w:val="FootnoteReference"/>
        </w:rPr>
        <w:footnoteRef/>
      </w:r>
      <w:r w:rsidR="008C064E">
        <w:tab/>
      </w:r>
      <w:r>
        <w:rPr>
          <w:rFonts w:ascii="Times New Roman" w:hAnsi="Times New Roman"/>
        </w:rPr>
        <w:t>Pozri odôvodnenie 79 rozhodnutia.</w:t>
      </w:r>
    </w:p>
  </w:footnote>
  <w:footnote w:id="26">
    <w:p w14:paraId="30D81773" w14:textId="77777777" w:rsidR="004A3516" w:rsidRPr="001B0AE9" w:rsidRDefault="004A3516" w:rsidP="001B0AE9">
      <w:pPr>
        <w:pStyle w:val="Footnote"/>
        <w:jc w:val="both"/>
      </w:pPr>
      <w:r>
        <w:rPr>
          <w:rStyle w:val="FootnoteReference"/>
        </w:rPr>
        <w:footnoteRef/>
      </w:r>
      <w:r>
        <w:t xml:space="preserve"> </w:t>
      </w:r>
      <w:r>
        <w:tab/>
        <w:t>Pozri odôvodnenie 181 rozhodnutia.</w:t>
      </w:r>
    </w:p>
  </w:footnote>
  <w:footnote w:id="27">
    <w:p w14:paraId="6D085B2F" w14:textId="3C87B7C7" w:rsidR="004A3516" w:rsidRPr="001B0AE9" w:rsidRDefault="004A3516" w:rsidP="001B0AE9">
      <w:pPr>
        <w:pStyle w:val="Footnote"/>
        <w:jc w:val="both"/>
      </w:pPr>
      <w:r>
        <w:rPr>
          <w:rStyle w:val="FootnoteReference"/>
        </w:rPr>
        <w:footnoteRef/>
      </w:r>
      <w:r>
        <w:t xml:space="preserve"> </w:t>
      </w:r>
      <w:r>
        <w:tab/>
        <w:t>Pozri prílohu 1</w:t>
      </w:r>
      <w:r w:rsidR="008C064E">
        <w:t xml:space="preserve"> k </w:t>
      </w:r>
      <w:r>
        <w:t>ministerskému vyhláseniu zo zasadnutia ministrov G7</w:t>
      </w:r>
      <w:r w:rsidR="008C064E">
        <w:t xml:space="preserve"> o </w:t>
      </w:r>
      <w:r>
        <w:t>digitálnom sektore uskutočneného 11. mája 2022 (Akčný plán G7 na podporu spoľahlivého voľného toku údajov),</w:t>
      </w:r>
      <w:r w:rsidR="008C064E">
        <w:t xml:space="preserve"> v </w:t>
      </w:r>
      <w:r>
        <w:t xml:space="preserve">ktorej sa pod nadpisom </w:t>
      </w:r>
      <w:r>
        <w:rPr>
          <w:i/>
        </w:rPr>
        <w:t>Building on commonalities in order to foster future interoperability</w:t>
      </w:r>
      <w:r>
        <w:t xml:space="preserve"> (Stavanie na spoločných prvkoch</w:t>
      </w:r>
      <w:r w:rsidR="008C064E">
        <w:t xml:space="preserve"> s </w:t>
      </w:r>
      <w:r>
        <w:t>cieľom podporovať budúcu interoperabilitu) odkazuje na „čoraz bežnejšie postupy, akými sú štandardné zmluvné doložky“.</w:t>
      </w:r>
    </w:p>
  </w:footnote>
  <w:footnote w:id="28">
    <w:p w14:paraId="749F140E" w14:textId="3C8595FD" w:rsidR="004A3516" w:rsidRPr="001B0AE9" w:rsidRDefault="004A3516" w:rsidP="001B0AE9">
      <w:pPr>
        <w:pStyle w:val="Footnote"/>
        <w:jc w:val="both"/>
      </w:pPr>
      <w:r>
        <w:rPr>
          <w:rStyle w:val="FootnoteReference"/>
        </w:rPr>
        <w:footnoteRef/>
      </w:r>
      <w:r>
        <w:tab/>
        <w:t>Pozri súbor nástrojov OECD Going Digital,</w:t>
      </w:r>
      <w:r>
        <w:rPr>
          <w:i/>
          <w:iCs/>
        </w:rPr>
        <w:t xml:space="preserve"> Interoperability of privacy and data protection frameworks</w:t>
      </w:r>
      <w:r>
        <w:t xml:space="preserve"> (Interoperabilita rámcov na ochranu súkromia</w:t>
      </w:r>
      <w:r w:rsidR="008C064E">
        <w:t xml:space="preserve"> a </w:t>
      </w:r>
      <w:r>
        <w:t xml:space="preserve">údajov) (k dispozícii na adrese: </w:t>
      </w:r>
      <w:hyperlink r:id="rId5" w:history="1">
        <w:r>
          <w:rPr>
            <w:rStyle w:val="Hyperlink"/>
          </w:rPr>
          <w:t>https://goingdigital.oecd.org/data/notes/No21_ToolkitNote_PrivacyDataInteroperability.pdf</w:t>
        </w:r>
      </w:hyperlink>
      <w:r>
        <w:t>), s. 18.</w:t>
      </w:r>
    </w:p>
  </w:footnote>
  <w:footnote w:id="29">
    <w:p w14:paraId="71C809B3" w14:textId="5469ABAE" w:rsidR="009255B0" w:rsidRPr="001B0AE9" w:rsidRDefault="009255B0" w:rsidP="009255B0">
      <w:pPr>
        <w:pStyle w:val="Footnote"/>
        <w:jc w:val="both"/>
      </w:pPr>
      <w:r>
        <w:rPr>
          <w:rStyle w:val="FootnoteReference"/>
        </w:rPr>
        <w:footnoteRef/>
      </w:r>
      <w:r>
        <w:t xml:space="preserve"> </w:t>
      </w:r>
      <w:r>
        <w:tab/>
        <w:t>Pozri odôvodnenie 177 rozhodnutia, podľa ktorého sa od japonských orgánov očakáva, že budú Komisiu informovať</w:t>
      </w:r>
      <w:r w:rsidR="008C064E">
        <w:t xml:space="preserve"> o </w:t>
      </w:r>
      <w:r>
        <w:t>podstatnom vývoji relevantnom pre toto rozhodnutie tak pokiaľ ide</w:t>
      </w:r>
      <w:r w:rsidR="008C064E">
        <w:t xml:space="preserve"> o </w:t>
      </w:r>
      <w:r>
        <w:t>spracúvanie osobných údajov hospodárskymi subjektmi, ako aj</w:t>
      </w:r>
      <w:r w:rsidR="008C064E">
        <w:t xml:space="preserve"> o </w:t>
      </w:r>
      <w:r>
        <w:t>obmedzenia</w:t>
      </w:r>
      <w:r w:rsidR="008C064E">
        <w:t xml:space="preserve"> a </w:t>
      </w:r>
      <w:r>
        <w:t>záruky uplatniteľné na prístup</w:t>
      </w:r>
      <w:r w:rsidR="008C064E">
        <w:t xml:space="preserve"> k </w:t>
      </w:r>
      <w:r>
        <w:t>osobným údajom zo strany orgánov verejnej moci.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BC741" w14:textId="77777777" w:rsidR="00220B49" w:rsidRPr="00220B49" w:rsidRDefault="00220B49" w:rsidP="00220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A4464" w14:textId="77777777" w:rsidR="00220B49" w:rsidRPr="00220B49" w:rsidRDefault="00220B49" w:rsidP="00220B49">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F124D" w14:textId="77777777" w:rsidR="00220B49" w:rsidRPr="00220B49" w:rsidRDefault="00220B49" w:rsidP="00220B49">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86980" w14:textId="77777777" w:rsidR="004A3516" w:rsidRDefault="004A35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65E4E" w14:textId="0F88B805" w:rsidR="004A3516" w:rsidRDefault="004A35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3FE8" w14:textId="77777777" w:rsidR="004A3516" w:rsidRDefault="004A3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E2A7A"/>
    <w:multiLevelType w:val="hybridMultilevel"/>
    <w:tmpl w:val="7CB0CDFE"/>
    <w:lvl w:ilvl="0" w:tplc="D1008ED2">
      <w:start w:val="1"/>
      <w:numFmt w:val="decimal"/>
      <w:lvlText w:val="%1."/>
      <w:lvlJc w:val="left"/>
      <w:pPr>
        <w:ind w:left="360" w:hanging="360"/>
      </w:pPr>
      <w:rPr>
        <w:rFonts w:ascii="Times New Roman" w:hAnsi="Times New Roman" w:cs="Times New Roman" w:hint="default"/>
        <w:b/>
        <w:sz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CBD273A"/>
    <w:multiLevelType w:val="hybridMultilevel"/>
    <w:tmpl w:val="15108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FB65B7"/>
    <w:multiLevelType w:val="hybridMultilevel"/>
    <w:tmpl w:val="C0C60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docVars>
    <w:docVar w:name="DocStatus" w:val="Green"/>
    <w:docVar w:name="LW_CORRIGENDUM" w:val="&lt;UNUSED&gt;"/>
    <w:docVar w:name="LW_COVERPAGE_EXISTS" w:val="True"/>
    <w:docVar w:name="LW_COVERPAGE_GUID" w:val="6A65FF43-9C1B-4AE0-9A37-57FC22B4B7AB"/>
    <w:docVar w:name="LW_COVERPAGE_TYPE" w:val="1"/>
    <w:docVar w:name="LW_CROSSREFERENCE" w:val="{SWD(2023) 75 final}"/>
    <w:docVar w:name="LW_DocType" w:val="NORMAL"/>
    <w:docVar w:name="LW_EMISSION" w:val="3. 4. 2023"/>
    <w:docVar w:name="LW_EMISSION_ISODATE" w:val="2023-04-03"/>
    <w:docVar w:name="LW_EMISSION_LOCATION" w:val="BRX"/>
    <w:docVar w:name="LW_EMISSION_PREFIX" w:val="V Bruseli"/>
    <w:docVar w:name="LW_EMISSION_SUFFIX" w:val=" "/>
    <w:docVar w:name="LW_ID_DOCTYPE_NONLW" w:val="CP-006"/>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23) 2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 prvom preskúmaní fungovania rozhodnutia o primeranosti pre Japonsko"/>
    <w:docVar w:name="LW_TYPE.DOC.CP" w:val="SPRÁVA KOMISIE EURÓPSKEMU PARLAMENTU A RADE"/>
    <w:docVar w:name="LwApiVersions" w:val="LW4CoDe 1.23.2.0; LW 8.0, Build 20211117"/>
  </w:docVars>
  <w:rsids>
    <w:rsidRoot w:val="0079314A"/>
    <w:rsid w:val="000006C2"/>
    <w:rsid w:val="00005A3D"/>
    <w:rsid w:val="000108C6"/>
    <w:rsid w:val="00020820"/>
    <w:rsid w:val="00023B10"/>
    <w:rsid w:val="00025050"/>
    <w:rsid w:val="000307DE"/>
    <w:rsid w:val="00033E9D"/>
    <w:rsid w:val="0003406A"/>
    <w:rsid w:val="00040401"/>
    <w:rsid w:val="0006165E"/>
    <w:rsid w:val="000735D0"/>
    <w:rsid w:val="00085AB2"/>
    <w:rsid w:val="000C0BF9"/>
    <w:rsid w:val="000C3348"/>
    <w:rsid w:val="000D03B5"/>
    <w:rsid w:val="000E1D25"/>
    <w:rsid w:val="000F1294"/>
    <w:rsid w:val="000F4629"/>
    <w:rsid w:val="00102810"/>
    <w:rsid w:val="00103FBE"/>
    <w:rsid w:val="0010502D"/>
    <w:rsid w:val="00110EFA"/>
    <w:rsid w:val="0012566F"/>
    <w:rsid w:val="00127279"/>
    <w:rsid w:val="001414A8"/>
    <w:rsid w:val="00166A05"/>
    <w:rsid w:val="0017185A"/>
    <w:rsid w:val="001725A7"/>
    <w:rsid w:val="00174FA6"/>
    <w:rsid w:val="00177604"/>
    <w:rsid w:val="001848D9"/>
    <w:rsid w:val="001A2F6C"/>
    <w:rsid w:val="001B0AE9"/>
    <w:rsid w:val="001B1DD4"/>
    <w:rsid w:val="001B2CBF"/>
    <w:rsid w:val="001B6AB0"/>
    <w:rsid w:val="001C33BF"/>
    <w:rsid w:val="001C7D9C"/>
    <w:rsid w:val="001D2022"/>
    <w:rsid w:val="001E3BA7"/>
    <w:rsid w:val="001F1443"/>
    <w:rsid w:val="001F24CF"/>
    <w:rsid w:val="00205706"/>
    <w:rsid w:val="00216F01"/>
    <w:rsid w:val="00220B49"/>
    <w:rsid w:val="00221472"/>
    <w:rsid w:val="00226074"/>
    <w:rsid w:val="00243815"/>
    <w:rsid w:val="00252A96"/>
    <w:rsid w:val="00260F13"/>
    <w:rsid w:val="00264548"/>
    <w:rsid w:val="00266556"/>
    <w:rsid w:val="00271E84"/>
    <w:rsid w:val="00275447"/>
    <w:rsid w:val="00291F37"/>
    <w:rsid w:val="0029571C"/>
    <w:rsid w:val="00295CBF"/>
    <w:rsid w:val="002969F1"/>
    <w:rsid w:val="002A0354"/>
    <w:rsid w:val="002A7F7E"/>
    <w:rsid w:val="002B3470"/>
    <w:rsid w:val="002C3893"/>
    <w:rsid w:val="002E1F00"/>
    <w:rsid w:val="002F2CA5"/>
    <w:rsid w:val="00300F34"/>
    <w:rsid w:val="003059D4"/>
    <w:rsid w:val="00306DC2"/>
    <w:rsid w:val="00311561"/>
    <w:rsid w:val="00311FCB"/>
    <w:rsid w:val="00314611"/>
    <w:rsid w:val="00333894"/>
    <w:rsid w:val="00334649"/>
    <w:rsid w:val="00346892"/>
    <w:rsid w:val="003518CA"/>
    <w:rsid w:val="00353E8A"/>
    <w:rsid w:val="003568ED"/>
    <w:rsid w:val="00360026"/>
    <w:rsid w:val="00364221"/>
    <w:rsid w:val="003661D1"/>
    <w:rsid w:val="0036717C"/>
    <w:rsid w:val="003679DC"/>
    <w:rsid w:val="003743B7"/>
    <w:rsid w:val="00381BD7"/>
    <w:rsid w:val="00382291"/>
    <w:rsid w:val="00386464"/>
    <w:rsid w:val="00386662"/>
    <w:rsid w:val="003A7519"/>
    <w:rsid w:val="003B1364"/>
    <w:rsid w:val="003D7D56"/>
    <w:rsid w:val="003E096E"/>
    <w:rsid w:val="003E2E33"/>
    <w:rsid w:val="003E5905"/>
    <w:rsid w:val="003F1CCC"/>
    <w:rsid w:val="004019AC"/>
    <w:rsid w:val="004151B1"/>
    <w:rsid w:val="00420C35"/>
    <w:rsid w:val="00423F67"/>
    <w:rsid w:val="0042678C"/>
    <w:rsid w:val="00432AA4"/>
    <w:rsid w:val="00433B9D"/>
    <w:rsid w:val="00443923"/>
    <w:rsid w:val="00451488"/>
    <w:rsid w:val="00474613"/>
    <w:rsid w:val="004842F0"/>
    <w:rsid w:val="00496A86"/>
    <w:rsid w:val="004A24A9"/>
    <w:rsid w:val="004A3516"/>
    <w:rsid w:val="004B1ADE"/>
    <w:rsid w:val="004B66B9"/>
    <w:rsid w:val="004C35AA"/>
    <w:rsid w:val="004C650B"/>
    <w:rsid w:val="004C79B8"/>
    <w:rsid w:val="004E08FC"/>
    <w:rsid w:val="004E3051"/>
    <w:rsid w:val="004F3EB4"/>
    <w:rsid w:val="005278F7"/>
    <w:rsid w:val="005303DC"/>
    <w:rsid w:val="005369F1"/>
    <w:rsid w:val="00536A95"/>
    <w:rsid w:val="0054776F"/>
    <w:rsid w:val="00570746"/>
    <w:rsid w:val="00574A41"/>
    <w:rsid w:val="005842E6"/>
    <w:rsid w:val="0058453F"/>
    <w:rsid w:val="0058755C"/>
    <w:rsid w:val="005902FD"/>
    <w:rsid w:val="005A0BE6"/>
    <w:rsid w:val="005A30F5"/>
    <w:rsid w:val="005A3982"/>
    <w:rsid w:val="005C2BF3"/>
    <w:rsid w:val="005C42E0"/>
    <w:rsid w:val="005D0E06"/>
    <w:rsid w:val="005D48EC"/>
    <w:rsid w:val="005E0B3B"/>
    <w:rsid w:val="005E20B3"/>
    <w:rsid w:val="005E686C"/>
    <w:rsid w:val="006020A8"/>
    <w:rsid w:val="00603694"/>
    <w:rsid w:val="0060618E"/>
    <w:rsid w:val="00607EB3"/>
    <w:rsid w:val="00610048"/>
    <w:rsid w:val="0061111D"/>
    <w:rsid w:val="0061605E"/>
    <w:rsid w:val="00616B80"/>
    <w:rsid w:val="00632F5F"/>
    <w:rsid w:val="00635952"/>
    <w:rsid w:val="00641BC0"/>
    <w:rsid w:val="00646EBC"/>
    <w:rsid w:val="00654404"/>
    <w:rsid w:val="0067077C"/>
    <w:rsid w:val="006745E9"/>
    <w:rsid w:val="00676BDC"/>
    <w:rsid w:val="00692279"/>
    <w:rsid w:val="0069285B"/>
    <w:rsid w:val="006A2FDB"/>
    <w:rsid w:val="006B104B"/>
    <w:rsid w:val="006B3034"/>
    <w:rsid w:val="006B5944"/>
    <w:rsid w:val="006B7003"/>
    <w:rsid w:val="006C6D1D"/>
    <w:rsid w:val="006D1006"/>
    <w:rsid w:val="006D22B5"/>
    <w:rsid w:val="006D7457"/>
    <w:rsid w:val="006D7BAA"/>
    <w:rsid w:val="006E62D2"/>
    <w:rsid w:val="006F0D3A"/>
    <w:rsid w:val="006F440D"/>
    <w:rsid w:val="006F5BDD"/>
    <w:rsid w:val="00704428"/>
    <w:rsid w:val="00725F2F"/>
    <w:rsid w:val="00731193"/>
    <w:rsid w:val="007340FB"/>
    <w:rsid w:val="0074302D"/>
    <w:rsid w:val="00744641"/>
    <w:rsid w:val="00751E18"/>
    <w:rsid w:val="007608A7"/>
    <w:rsid w:val="00766375"/>
    <w:rsid w:val="00777179"/>
    <w:rsid w:val="0079314A"/>
    <w:rsid w:val="0079427A"/>
    <w:rsid w:val="007A62AA"/>
    <w:rsid w:val="007B5A0B"/>
    <w:rsid w:val="007B6DC1"/>
    <w:rsid w:val="007C5019"/>
    <w:rsid w:val="007D1FFF"/>
    <w:rsid w:val="007D6879"/>
    <w:rsid w:val="007E411C"/>
    <w:rsid w:val="007E5662"/>
    <w:rsid w:val="007E5B51"/>
    <w:rsid w:val="007F07B8"/>
    <w:rsid w:val="007F5236"/>
    <w:rsid w:val="00804DFB"/>
    <w:rsid w:val="008055E1"/>
    <w:rsid w:val="00813829"/>
    <w:rsid w:val="0081641B"/>
    <w:rsid w:val="0081698E"/>
    <w:rsid w:val="00827A47"/>
    <w:rsid w:val="00831D57"/>
    <w:rsid w:val="00841321"/>
    <w:rsid w:val="00843777"/>
    <w:rsid w:val="00843910"/>
    <w:rsid w:val="00843A21"/>
    <w:rsid w:val="00845341"/>
    <w:rsid w:val="00850C1B"/>
    <w:rsid w:val="00855007"/>
    <w:rsid w:val="00862175"/>
    <w:rsid w:val="008662FB"/>
    <w:rsid w:val="0088699C"/>
    <w:rsid w:val="00893655"/>
    <w:rsid w:val="0089503C"/>
    <w:rsid w:val="008A25B3"/>
    <w:rsid w:val="008A266C"/>
    <w:rsid w:val="008B1061"/>
    <w:rsid w:val="008B11C0"/>
    <w:rsid w:val="008B1ABA"/>
    <w:rsid w:val="008B63CA"/>
    <w:rsid w:val="008C064E"/>
    <w:rsid w:val="008D366F"/>
    <w:rsid w:val="008E614E"/>
    <w:rsid w:val="008F7F4D"/>
    <w:rsid w:val="00901F8D"/>
    <w:rsid w:val="00906636"/>
    <w:rsid w:val="00914DA3"/>
    <w:rsid w:val="00916451"/>
    <w:rsid w:val="00916B69"/>
    <w:rsid w:val="009255B0"/>
    <w:rsid w:val="00932F2C"/>
    <w:rsid w:val="00936A70"/>
    <w:rsid w:val="00940A4F"/>
    <w:rsid w:val="00944ED8"/>
    <w:rsid w:val="00945706"/>
    <w:rsid w:val="009526CE"/>
    <w:rsid w:val="009605D7"/>
    <w:rsid w:val="009629C6"/>
    <w:rsid w:val="0096452F"/>
    <w:rsid w:val="00975B56"/>
    <w:rsid w:val="0099165B"/>
    <w:rsid w:val="009A1160"/>
    <w:rsid w:val="009C07E6"/>
    <w:rsid w:val="009C2208"/>
    <w:rsid w:val="009C7951"/>
    <w:rsid w:val="009F222A"/>
    <w:rsid w:val="009F22C5"/>
    <w:rsid w:val="009F3158"/>
    <w:rsid w:val="009F505D"/>
    <w:rsid w:val="00A02251"/>
    <w:rsid w:val="00A038A8"/>
    <w:rsid w:val="00A053CD"/>
    <w:rsid w:val="00A1030D"/>
    <w:rsid w:val="00A17989"/>
    <w:rsid w:val="00A17C9F"/>
    <w:rsid w:val="00A3073D"/>
    <w:rsid w:val="00A32670"/>
    <w:rsid w:val="00A37BD4"/>
    <w:rsid w:val="00A414F7"/>
    <w:rsid w:val="00A44CF0"/>
    <w:rsid w:val="00A569A3"/>
    <w:rsid w:val="00A56CE7"/>
    <w:rsid w:val="00A642F8"/>
    <w:rsid w:val="00A6640C"/>
    <w:rsid w:val="00A66C72"/>
    <w:rsid w:val="00A67415"/>
    <w:rsid w:val="00A679F3"/>
    <w:rsid w:val="00A706D1"/>
    <w:rsid w:val="00A8234B"/>
    <w:rsid w:val="00A91ED0"/>
    <w:rsid w:val="00A9570A"/>
    <w:rsid w:val="00AA629F"/>
    <w:rsid w:val="00AA7B84"/>
    <w:rsid w:val="00AC0F42"/>
    <w:rsid w:val="00B121BD"/>
    <w:rsid w:val="00B32822"/>
    <w:rsid w:val="00B35C62"/>
    <w:rsid w:val="00B37707"/>
    <w:rsid w:val="00B42C16"/>
    <w:rsid w:val="00B53D91"/>
    <w:rsid w:val="00B54319"/>
    <w:rsid w:val="00B549E2"/>
    <w:rsid w:val="00B55FFD"/>
    <w:rsid w:val="00B63830"/>
    <w:rsid w:val="00B65537"/>
    <w:rsid w:val="00B76A1E"/>
    <w:rsid w:val="00B938DD"/>
    <w:rsid w:val="00B95035"/>
    <w:rsid w:val="00BA1561"/>
    <w:rsid w:val="00BA21A7"/>
    <w:rsid w:val="00BA255A"/>
    <w:rsid w:val="00BB039F"/>
    <w:rsid w:val="00BB7E2E"/>
    <w:rsid w:val="00BC1349"/>
    <w:rsid w:val="00BD7808"/>
    <w:rsid w:val="00BF205D"/>
    <w:rsid w:val="00BF32A7"/>
    <w:rsid w:val="00BF4F96"/>
    <w:rsid w:val="00C14A3E"/>
    <w:rsid w:val="00C16DBA"/>
    <w:rsid w:val="00C229BE"/>
    <w:rsid w:val="00C25E35"/>
    <w:rsid w:val="00C54A9F"/>
    <w:rsid w:val="00C61554"/>
    <w:rsid w:val="00C65378"/>
    <w:rsid w:val="00C76E7D"/>
    <w:rsid w:val="00C92381"/>
    <w:rsid w:val="00C957A6"/>
    <w:rsid w:val="00CA1F9D"/>
    <w:rsid w:val="00CA697D"/>
    <w:rsid w:val="00CB1045"/>
    <w:rsid w:val="00CC1B8E"/>
    <w:rsid w:val="00CC3A4D"/>
    <w:rsid w:val="00CC5449"/>
    <w:rsid w:val="00CD084E"/>
    <w:rsid w:val="00CD7DF0"/>
    <w:rsid w:val="00CE7235"/>
    <w:rsid w:val="00CF2B09"/>
    <w:rsid w:val="00D05426"/>
    <w:rsid w:val="00D110DD"/>
    <w:rsid w:val="00D11D86"/>
    <w:rsid w:val="00D1232B"/>
    <w:rsid w:val="00D15D69"/>
    <w:rsid w:val="00D1708B"/>
    <w:rsid w:val="00D326EF"/>
    <w:rsid w:val="00D32FDB"/>
    <w:rsid w:val="00D36BB0"/>
    <w:rsid w:val="00D66ADA"/>
    <w:rsid w:val="00D80A75"/>
    <w:rsid w:val="00D86DBF"/>
    <w:rsid w:val="00D9668C"/>
    <w:rsid w:val="00DA27F8"/>
    <w:rsid w:val="00DB2F11"/>
    <w:rsid w:val="00DD2518"/>
    <w:rsid w:val="00DD414E"/>
    <w:rsid w:val="00DF399B"/>
    <w:rsid w:val="00DF6A11"/>
    <w:rsid w:val="00E11BDF"/>
    <w:rsid w:val="00E1267D"/>
    <w:rsid w:val="00E20292"/>
    <w:rsid w:val="00E26F55"/>
    <w:rsid w:val="00E27112"/>
    <w:rsid w:val="00E3052D"/>
    <w:rsid w:val="00E310A4"/>
    <w:rsid w:val="00E362D7"/>
    <w:rsid w:val="00E36377"/>
    <w:rsid w:val="00E3747A"/>
    <w:rsid w:val="00E41F6D"/>
    <w:rsid w:val="00E55B38"/>
    <w:rsid w:val="00E76155"/>
    <w:rsid w:val="00EA7A65"/>
    <w:rsid w:val="00EB1EC1"/>
    <w:rsid w:val="00EB77F5"/>
    <w:rsid w:val="00EC4BA3"/>
    <w:rsid w:val="00ED00F2"/>
    <w:rsid w:val="00ED0E6C"/>
    <w:rsid w:val="00ED5A0B"/>
    <w:rsid w:val="00ED5A88"/>
    <w:rsid w:val="00EE577C"/>
    <w:rsid w:val="00EE6CB1"/>
    <w:rsid w:val="00EF1A47"/>
    <w:rsid w:val="00F01C5D"/>
    <w:rsid w:val="00F14480"/>
    <w:rsid w:val="00F15B80"/>
    <w:rsid w:val="00F16109"/>
    <w:rsid w:val="00F24EF8"/>
    <w:rsid w:val="00F2689C"/>
    <w:rsid w:val="00F26F5D"/>
    <w:rsid w:val="00F34594"/>
    <w:rsid w:val="00F36CBF"/>
    <w:rsid w:val="00F44685"/>
    <w:rsid w:val="00F56D8C"/>
    <w:rsid w:val="00F847DB"/>
    <w:rsid w:val="00F9509F"/>
    <w:rsid w:val="00F95C5B"/>
    <w:rsid w:val="00F96BBA"/>
    <w:rsid w:val="00FA14DC"/>
    <w:rsid w:val="00FB44FB"/>
    <w:rsid w:val="00FC0004"/>
    <w:rsid w:val="00FC4AC0"/>
    <w:rsid w:val="00FD35CB"/>
    <w:rsid w:val="00FD7471"/>
    <w:rsid w:val="00FE21D6"/>
    <w:rsid w:val="00FE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36E276"/>
  <w15:docId w15:val="{9193F7FA-2EDE-43A1-9BFC-9F0C7302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C72"/>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C72"/>
    <w:rPr>
      <w:lang w:val="sk-SK"/>
    </w:rPr>
  </w:style>
  <w:style w:type="paragraph" w:styleId="Footer">
    <w:name w:val="footer"/>
    <w:basedOn w:val="Normal"/>
    <w:link w:val="FooterChar"/>
    <w:uiPriority w:val="99"/>
    <w:unhideWhenUsed/>
    <w:rsid w:val="00A66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C72"/>
    <w:rPr>
      <w:lang w:val="sk-SK"/>
    </w:rPr>
  </w:style>
  <w:style w:type="paragraph" w:styleId="ListParagraph">
    <w:name w:val="List Paragraph"/>
    <w:basedOn w:val="Normal"/>
    <w:uiPriority w:val="34"/>
    <w:qFormat/>
    <w:rsid w:val="00A66C72"/>
    <w:pPr>
      <w:ind w:left="720"/>
      <w:contextualSpacing/>
    </w:pPr>
  </w:style>
  <w:style w:type="paragraph" w:styleId="FootnoteText">
    <w:name w:val="footnote text"/>
    <w:basedOn w:val="Normal"/>
    <w:link w:val="FootnoteTextChar"/>
    <w:uiPriority w:val="99"/>
    <w:unhideWhenUsed/>
    <w:rsid w:val="00893655"/>
    <w:pPr>
      <w:spacing w:after="0" w:line="240" w:lineRule="auto"/>
    </w:pPr>
    <w:rPr>
      <w:sz w:val="20"/>
      <w:szCs w:val="20"/>
    </w:rPr>
  </w:style>
  <w:style w:type="character" w:customStyle="1" w:styleId="FootnoteTextChar">
    <w:name w:val="Footnote Text Char"/>
    <w:basedOn w:val="DefaultParagraphFont"/>
    <w:link w:val="FootnoteText"/>
    <w:uiPriority w:val="99"/>
    <w:rsid w:val="00893655"/>
    <w:rPr>
      <w:sz w:val="20"/>
      <w:szCs w:val="20"/>
    </w:rPr>
  </w:style>
  <w:style w:type="character" w:styleId="FootnoteReference">
    <w:name w:val="footnote reference"/>
    <w:basedOn w:val="DefaultParagraphFont"/>
    <w:uiPriority w:val="99"/>
    <w:semiHidden/>
    <w:unhideWhenUsed/>
    <w:rsid w:val="00893655"/>
    <w:rPr>
      <w:vertAlign w:val="superscript"/>
    </w:rPr>
  </w:style>
  <w:style w:type="character" w:styleId="Hyperlink">
    <w:name w:val="Hyperlink"/>
    <w:basedOn w:val="DefaultParagraphFont"/>
    <w:uiPriority w:val="99"/>
    <w:unhideWhenUsed/>
    <w:rsid w:val="000735D0"/>
    <w:rPr>
      <w:color w:val="0563C1" w:themeColor="hyperlink"/>
      <w:u w:val="single"/>
    </w:rPr>
  </w:style>
  <w:style w:type="character" w:customStyle="1" w:styleId="UnresolvedMention1">
    <w:name w:val="Unresolved Mention1"/>
    <w:basedOn w:val="DefaultParagraphFont"/>
    <w:uiPriority w:val="99"/>
    <w:semiHidden/>
    <w:unhideWhenUsed/>
    <w:rsid w:val="00BA21A7"/>
    <w:rPr>
      <w:color w:val="605E5C"/>
      <w:shd w:val="clear" w:color="auto" w:fill="E1DFDD"/>
    </w:rPr>
  </w:style>
  <w:style w:type="paragraph" w:styleId="BalloonText">
    <w:name w:val="Balloon Text"/>
    <w:basedOn w:val="Normal"/>
    <w:link w:val="BalloonTextChar"/>
    <w:uiPriority w:val="99"/>
    <w:semiHidden/>
    <w:unhideWhenUsed/>
    <w:rsid w:val="00314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611"/>
    <w:rPr>
      <w:rFonts w:ascii="Segoe UI" w:hAnsi="Segoe UI" w:cs="Segoe UI"/>
      <w:sz w:val="18"/>
      <w:szCs w:val="18"/>
      <w:lang w:val="sk-SK"/>
    </w:rPr>
  </w:style>
  <w:style w:type="character" w:styleId="CommentReference">
    <w:name w:val="annotation reference"/>
    <w:basedOn w:val="DefaultParagraphFont"/>
    <w:uiPriority w:val="99"/>
    <w:semiHidden/>
    <w:unhideWhenUsed/>
    <w:rsid w:val="003518CA"/>
    <w:rPr>
      <w:sz w:val="16"/>
      <w:szCs w:val="16"/>
    </w:rPr>
  </w:style>
  <w:style w:type="paragraph" w:styleId="CommentText">
    <w:name w:val="annotation text"/>
    <w:basedOn w:val="Normal"/>
    <w:link w:val="CommentTextChar"/>
    <w:uiPriority w:val="99"/>
    <w:unhideWhenUsed/>
    <w:rsid w:val="003518CA"/>
    <w:pPr>
      <w:spacing w:line="240" w:lineRule="auto"/>
    </w:pPr>
    <w:rPr>
      <w:sz w:val="20"/>
      <w:szCs w:val="20"/>
    </w:rPr>
  </w:style>
  <w:style w:type="character" w:customStyle="1" w:styleId="CommentTextChar">
    <w:name w:val="Comment Text Char"/>
    <w:basedOn w:val="DefaultParagraphFont"/>
    <w:link w:val="CommentText"/>
    <w:uiPriority w:val="99"/>
    <w:rsid w:val="003518CA"/>
    <w:rPr>
      <w:sz w:val="20"/>
      <w:szCs w:val="20"/>
      <w:lang w:val="sk-SK"/>
    </w:rPr>
  </w:style>
  <w:style w:type="paragraph" w:styleId="CommentSubject">
    <w:name w:val="annotation subject"/>
    <w:basedOn w:val="CommentText"/>
    <w:next w:val="CommentText"/>
    <w:link w:val="CommentSubjectChar"/>
    <w:uiPriority w:val="99"/>
    <w:semiHidden/>
    <w:unhideWhenUsed/>
    <w:rsid w:val="003518CA"/>
    <w:rPr>
      <w:b/>
      <w:bCs/>
    </w:rPr>
  </w:style>
  <w:style w:type="character" w:customStyle="1" w:styleId="CommentSubjectChar">
    <w:name w:val="Comment Subject Char"/>
    <w:basedOn w:val="CommentTextChar"/>
    <w:link w:val="CommentSubject"/>
    <w:uiPriority w:val="99"/>
    <w:semiHidden/>
    <w:rsid w:val="003518CA"/>
    <w:rPr>
      <w:b/>
      <w:bCs/>
      <w:sz w:val="20"/>
      <w:szCs w:val="20"/>
      <w:lang w:val="sk-SK"/>
    </w:rPr>
  </w:style>
  <w:style w:type="paragraph" w:customStyle="1" w:styleId="Footnote">
    <w:name w:val="Footnote"/>
    <w:basedOn w:val="FootnoteText"/>
    <w:rsid w:val="003518CA"/>
    <w:pPr>
      <w:ind w:left="284" w:hanging="284"/>
    </w:pPr>
    <w:rPr>
      <w:rFonts w:ascii="Times New Roman" w:hAnsi="Times New Roman" w:cs="Times New Roman"/>
    </w:rPr>
  </w:style>
  <w:style w:type="character" w:customStyle="1" w:styleId="Marker">
    <w:name w:val="Marker"/>
    <w:basedOn w:val="DefaultParagraphFont"/>
    <w:rsid w:val="003518CA"/>
    <w:rPr>
      <w:color w:val="0000FF"/>
      <w:shd w:val="clear" w:color="auto" w:fill="auto"/>
    </w:rPr>
  </w:style>
  <w:style w:type="paragraph" w:customStyle="1" w:styleId="Pagedecouverture">
    <w:name w:val="Page de couverture"/>
    <w:basedOn w:val="Normal"/>
    <w:next w:val="Normal"/>
    <w:rsid w:val="003518CA"/>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rsid w:val="003518CA"/>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3518CA"/>
    <w:rPr>
      <w:rFonts w:ascii="Times New Roman" w:hAnsi="Times New Roman" w:cs="Times New Roman"/>
      <w:sz w:val="24"/>
    </w:rPr>
  </w:style>
  <w:style w:type="paragraph" w:customStyle="1" w:styleId="FooterSensitivity">
    <w:name w:val="Footer Sensitivity"/>
    <w:basedOn w:val="Normal"/>
    <w:link w:val="FooterSensitivityChar"/>
    <w:rsid w:val="003518CA"/>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sid w:val="003518CA"/>
    <w:rPr>
      <w:rFonts w:ascii="Times New Roman" w:hAnsi="Times New Roman" w:cs="Times New Roman"/>
      <w:b/>
      <w:sz w:val="32"/>
    </w:rPr>
  </w:style>
  <w:style w:type="paragraph" w:customStyle="1" w:styleId="HeaderCoverPage">
    <w:name w:val="Header Cover Page"/>
    <w:basedOn w:val="Normal"/>
    <w:link w:val="HeaderCoverPageChar"/>
    <w:rsid w:val="003518CA"/>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3518CA"/>
    <w:rPr>
      <w:rFonts w:ascii="Times New Roman" w:hAnsi="Times New Roman" w:cs="Times New Roman"/>
      <w:sz w:val="24"/>
    </w:rPr>
  </w:style>
  <w:style w:type="paragraph" w:customStyle="1" w:styleId="HeaderSensitivity">
    <w:name w:val="Header Sensitivity"/>
    <w:basedOn w:val="Normal"/>
    <w:link w:val="HeaderSensitivityChar"/>
    <w:rsid w:val="003518CA"/>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sid w:val="003518CA"/>
    <w:rPr>
      <w:rFonts w:ascii="Times New Roman" w:hAnsi="Times New Roman" w:cs="Times New Roman"/>
      <w:b/>
      <w:sz w:val="32"/>
    </w:rPr>
  </w:style>
  <w:style w:type="paragraph" w:customStyle="1" w:styleId="HeaderSensitivityRight">
    <w:name w:val="Header Sensitivity Right"/>
    <w:basedOn w:val="Normal"/>
    <w:link w:val="HeaderSensitivityRightChar"/>
    <w:rsid w:val="003518CA"/>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3518CA"/>
    <w:rPr>
      <w:rFonts w:ascii="Times New Roman" w:hAnsi="Times New Roman" w:cs="Times New Roman"/>
      <w:sz w:val="28"/>
    </w:rPr>
  </w:style>
  <w:style w:type="paragraph" w:styleId="Revision">
    <w:name w:val="Revision"/>
    <w:hidden/>
    <w:uiPriority w:val="99"/>
    <w:semiHidden/>
    <w:rsid w:val="001B0AE9"/>
    <w:pPr>
      <w:spacing w:after="0" w:line="240" w:lineRule="auto"/>
    </w:pPr>
  </w:style>
  <w:style w:type="character" w:customStyle="1" w:styleId="UnresolvedMention2">
    <w:name w:val="Unresolved Mention2"/>
    <w:basedOn w:val="DefaultParagraphFont"/>
    <w:uiPriority w:val="99"/>
    <w:semiHidden/>
    <w:unhideWhenUsed/>
    <w:rsid w:val="00D11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04245">
      <w:bodyDiv w:val="1"/>
      <w:marLeft w:val="0"/>
      <w:marRight w:val="0"/>
      <w:marTop w:val="0"/>
      <w:marBottom w:val="0"/>
      <w:divBdr>
        <w:top w:val="none" w:sz="0" w:space="0" w:color="auto"/>
        <w:left w:val="none" w:sz="0" w:space="0" w:color="auto"/>
        <w:bottom w:val="none" w:sz="0" w:space="0" w:color="auto"/>
        <w:right w:val="none" w:sz="0" w:space="0" w:color="auto"/>
      </w:divBdr>
    </w:div>
    <w:div w:id="1433671770">
      <w:bodyDiv w:val="1"/>
      <w:marLeft w:val="0"/>
      <w:marRight w:val="0"/>
      <w:marTop w:val="0"/>
      <w:marBottom w:val="0"/>
      <w:divBdr>
        <w:top w:val="none" w:sz="0" w:space="0" w:color="auto"/>
        <w:left w:val="none" w:sz="0" w:space="0" w:color="auto"/>
        <w:bottom w:val="none" w:sz="0" w:space="0" w:color="auto"/>
        <w:right w:val="none" w:sz="0" w:space="0" w:color="auto"/>
      </w:divBdr>
    </w:div>
    <w:div w:id="1462336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pc.go.jp/files/pdf/APPI_english.pdf" TargetMode="External"/><Relationship Id="rId2" Type="http://schemas.openxmlformats.org/officeDocument/2006/relationships/hyperlink" Target="https://policy.trade.ec.europa.eu/news/eu-and-japan-start-negotiations-include-rules-cross-border-data-flows-their-economic-partnership-2022-10-07_en" TargetMode="External"/><Relationship Id="rId1" Type="http://schemas.openxmlformats.org/officeDocument/2006/relationships/hyperlink" Target="https://ec.europa.eu/commission/presscorner/detail/sk/IP_18_4501" TargetMode="External"/><Relationship Id="rId5" Type="http://schemas.openxmlformats.org/officeDocument/2006/relationships/hyperlink" Target="https://goingdigital.oecd.org/data/notes/No21_ToolkitNote_PrivacyDataInteroperability.pdf" TargetMode="External"/><Relationship Id="rId4" Type="http://schemas.openxmlformats.org/officeDocument/2006/relationships/hyperlink" Target="https://www.japaneselawtranslation.go.jp/ja/laws/view/4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BEF1A-CA90-4D6A-A560-A40641E6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2490</Words>
  <Characters>15442</Characters>
  <Application>Microsoft Office Word</Application>
  <DocSecurity>0</DocSecurity>
  <Lines>223</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EC CoDe</cp:lastModifiedBy>
  <cp:revision>32</cp:revision>
  <dcterms:created xsi:type="dcterms:W3CDTF">2023-03-28T10:40:00Z</dcterms:created>
  <dcterms:modified xsi:type="dcterms:W3CDTF">2023-04-11T16:09:00Z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2022-07-28T15:06:31Z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5eb7a5fa-9ea4-460e-82f3-6d5e5c94f9f0</vt:lpwstr>
  </property>
  <property fmtid="{D5CDD505-2E9C-101B-9397-08002B2CF9AE}" pid="8" name="MSIP_Label_6bd9ddd1-4d20-43f6-abfa-fc3c07406f94_ContentBits">
    <vt:lpwstr>0</vt:lpwstr>
  </property>
  <property fmtid="{D5CDD505-2E9C-101B-9397-08002B2CF9AE}" pid="9" name="Level of sensitivity">
    <vt:lpwstr>Standard treatment</vt:lpwstr>
  </property>
  <property fmtid="{D5CDD505-2E9C-101B-9397-08002B2CF9AE}" pid="10" name="Part">
    <vt:lpwstr>1</vt:lpwstr>
  </property>
  <property fmtid="{D5CDD505-2E9C-101B-9397-08002B2CF9AE}" pid="11" name="Total parts">
    <vt:lpwstr>1</vt:lpwstr>
  </property>
  <property fmtid="{D5CDD505-2E9C-101B-9397-08002B2CF9AE}" pid="12" name="DocStatus">
    <vt:lpwstr>Green</vt:lpwstr>
  </property>
  <property fmtid="{D5CDD505-2E9C-101B-9397-08002B2CF9AE}" pid="13" name="CPTemplateID">
    <vt:lpwstr>CP-006</vt:lpwstr>
  </property>
  <property fmtid="{D5CDD505-2E9C-101B-9397-08002B2CF9AE}" pid="14" name="Last edited using">
    <vt:lpwstr>LW 9.0, Build 20230317</vt:lpwstr>
  </property>
  <property fmtid="{D5CDD505-2E9C-101B-9397-08002B2CF9AE}" pid="15" name="Created using">
    <vt:lpwstr>LW 8.1, Build 20230124</vt:lpwstr>
  </property>
</Properties>
</file>