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2495" w14:textId="31A2CC82" w:rsidR="003518CA" w:rsidRPr="000A6916" w:rsidRDefault="00661798" w:rsidP="00661798">
      <w:pPr>
        <w:pStyle w:val="Pagedecouverture"/>
        <w:rPr>
          <w:noProof/>
          <w:lang w:val="pl-PL"/>
        </w:rPr>
      </w:pPr>
      <w:bookmarkStart w:id="0" w:name="LW_BM_COVERPAGE"/>
      <w:r>
        <w:rPr>
          <w:noProof/>
          <w:lang w:val="pl-PL"/>
        </w:rPr>
        <w:pict w14:anchorId="10196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4638127-A50E-4D97-9AF0-0828BE832916" style="width:455.25pt;height:324pt">
            <v:imagedata r:id="rId8" o:title=""/>
          </v:shape>
        </w:pict>
      </w:r>
    </w:p>
    <w:bookmarkEnd w:id="0"/>
    <w:p w14:paraId="2959671D" w14:textId="77777777" w:rsidR="003518CA" w:rsidRPr="000A6916" w:rsidRDefault="003518CA" w:rsidP="003518CA">
      <w:pPr>
        <w:rPr>
          <w:noProof/>
          <w:lang w:val="pl-PL"/>
        </w:rPr>
        <w:sectPr w:rsidR="003518CA" w:rsidRPr="000A6916" w:rsidSect="00661798">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242DF00D" w14:textId="2B81B069" w:rsidR="00A66C72" w:rsidRPr="000A6916" w:rsidRDefault="00A66C72" w:rsidP="00A66C72">
      <w:pPr>
        <w:jc w:val="center"/>
        <w:rPr>
          <w:rFonts w:ascii="Times New Roman" w:hAnsi="Times New Roman" w:cs="Times New Roman"/>
          <w:b/>
          <w:noProof/>
          <w:sz w:val="24"/>
          <w:lang w:val="pl-PL"/>
        </w:rPr>
      </w:pPr>
      <w:bookmarkStart w:id="1" w:name="_GoBack"/>
      <w:bookmarkEnd w:id="1"/>
      <w:r w:rsidRPr="000A6916">
        <w:rPr>
          <w:rFonts w:ascii="Times New Roman" w:hAnsi="Times New Roman"/>
          <w:b/>
          <w:noProof/>
          <w:sz w:val="24"/>
          <w:lang w:val="pl-PL"/>
        </w:rPr>
        <w:lastRenderedPageBreak/>
        <w:t>SPRAWOZDANIE KOMISJI DLA PARLAMENTU EUROPEJSKIEGO I RADY</w:t>
      </w:r>
    </w:p>
    <w:p w14:paraId="498356BB" w14:textId="53DA45B6" w:rsidR="00314611" w:rsidRPr="000A6916" w:rsidRDefault="00A66C72" w:rsidP="00271E84">
      <w:pPr>
        <w:jc w:val="center"/>
        <w:rPr>
          <w:rFonts w:ascii="Times New Roman" w:hAnsi="Times New Roman" w:cs="Times New Roman"/>
          <w:b/>
          <w:noProof/>
          <w:sz w:val="24"/>
          <w:lang w:val="pl-PL"/>
        </w:rPr>
      </w:pPr>
      <w:r w:rsidRPr="000A6916">
        <w:rPr>
          <w:rFonts w:ascii="Times New Roman" w:hAnsi="Times New Roman"/>
          <w:b/>
          <w:noProof/>
          <w:sz w:val="24"/>
          <w:lang w:val="pl-PL"/>
        </w:rPr>
        <w:t>dotyczące pierwszego przeglądu funkcjonowania decyzji stwierdzającej odpowiedni stopień ochrony</w:t>
      </w:r>
      <w:r w:rsidR="000A6916" w:rsidRPr="000A6916">
        <w:rPr>
          <w:rFonts w:ascii="Times New Roman" w:hAnsi="Times New Roman"/>
          <w:b/>
          <w:noProof/>
          <w:sz w:val="24"/>
          <w:lang w:val="pl-PL"/>
        </w:rPr>
        <w:t xml:space="preserve"> w</w:t>
      </w:r>
      <w:r w:rsidR="000A6916">
        <w:rPr>
          <w:rFonts w:ascii="Times New Roman" w:hAnsi="Times New Roman"/>
          <w:b/>
          <w:noProof/>
          <w:sz w:val="24"/>
          <w:lang w:val="pl-PL"/>
        </w:rPr>
        <w:t> </w:t>
      </w:r>
      <w:r w:rsidR="000A6916" w:rsidRPr="000A6916">
        <w:rPr>
          <w:rFonts w:ascii="Times New Roman" w:hAnsi="Times New Roman"/>
          <w:b/>
          <w:noProof/>
          <w:sz w:val="24"/>
          <w:lang w:val="pl-PL"/>
        </w:rPr>
        <w:t>Jap</w:t>
      </w:r>
      <w:r w:rsidRPr="000A6916">
        <w:rPr>
          <w:rFonts w:ascii="Times New Roman" w:hAnsi="Times New Roman"/>
          <w:b/>
          <w:noProof/>
          <w:sz w:val="24"/>
          <w:lang w:val="pl-PL"/>
        </w:rPr>
        <w:t>onii</w:t>
      </w:r>
    </w:p>
    <w:p w14:paraId="7C6C7B40" w14:textId="29D57CC7" w:rsidR="00A66C72" w:rsidRPr="000A6916" w:rsidRDefault="00B37707" w:rsidP="00A66C72">
      <w:pPr>
        <w:pStyle w:val="ListParagraph"/>
        <w:numPr>
          <w:ilvl w:val="0"/>
          <w:numId w:val="1"/>
        </w:numPr>
        <w:rPr>
          <w:rFonts w:ascii="Times New Roman" w:hAnsi="Times New Roman" w:cs="Times New Roman"/>
          <w:b/>
          <w:noProof/>
          <w:lang w:val="pl-PL"/>
        </w:rPr>
      </w:pPr>
      <w:r w:rsidRPr="000A6916">
        <w:rPr>
          <w:rFonts w:ascii="Times New Roman" w:hAnsi="Times New Roman"/>
          <w:b/>
          <w:noProof/>
          <w:sz w:val="24"/>
          <w:lang w:val="pl-PL"/>
        </w:rPr>
        <w:t>PIERWSZY PRZEGLĄD – KONTEKST, PRZYGOTOWANIE I PRZEBIEG</w:t>
      </w:r>
    </w:p>
    <w:p w14:paraId="433ACF0C" w14:textId="73FFFFD3" w:rsidR="00E20292" w:rsidRPr="000A6916" w:rsidRDefault="00E20292" w:rsidP="00A02251">
      <w:pPr>
        <w:jc w:val="both"/>
        <w:rPr>
          <w:rFonts w:ascii="Times New Roman" w:hAnsi="Times New Roman" w:cs="Times New Roman"/>
          <w:noProof/>
          <w:sz w:val="24"/>
          <w:lang w:val="pl-PL"/>
        </w:rPr>
      </w:pPr>
      <w:r w:rsidRPr="000A6916">
        <w:rPr>
          <w:rFonts w:ascii="Times New Roman" w:hAnsi="Times New Roman"/>
          <w:noProof/>
          <w:sz w:val="24"/>
          <w:lang w:val="pl-PL"/>
        </w:rPr>
        <w:t>23 stycznia 2019</w:t>
      </w:r>
      <w:r w:rsidR="000A6916" w:rsidRPr="000A6916">
        <w:rPr>
          <w:rFonts w:ascii="Times New Roman" w:hAnsi="Times New Roman"/>
          <w:noProof/>
          <w:sz w:val="24"/>
          <w:lang w:val="pl-PL"/>
        </w:rPr>
        <w:t> </w:t>
      </w:r>
      <w:r w:rsidRPr="000A6916">
        <w:rPr>
          <w:rFonts w:ascii="Times New Roman" w:hAnsi="Times New Roman"/>
          <w:noProof/>
          <w:sz w:val="24"/>
          <w:lang w:val="pl-PL"/>
        </w:rPr>
        <w:t>r. na podstawie art.</w:t>
      </w:r>
      <w:r w:rsidR="000A6916" w:rsidRPr="000A6916">
        <w:rPr>
          <w:rFonts w:ascii="Times New Roman" w:hAnsi="Times New Roman"/>
          <w:noProof/>
          <w:sz w:val="24"/>
          <w:lang w:val="pl-PL"/>
        </w:rPr>
        <w:t> </w:t>
      </w:r>
      <w:r w:rsidRPr="000A6916">
        <w:rPr>
          <w:rFonts w:ascii="Times New Roman" w:hAnsi="Times New Roman"/>
          <w:noProof/>
          <w:sz w:val="24"/>
          <w:lang w:val="pl-PL"/>
        </w:rPr>
        <w:t>45 rozporządzenia (UE) 2016/679 (RODO)</w:t>
      </w:r>
      <w:r w:rsidRPr="000A6916">
        <w:rPr>
          <w:rStyle w:val="FootnoteReference"/>
          <w:rFonts w:ascii="Times New Roman" w:hAnsi="Times New Roman" w:cs="Times New Roman"/>
          <w:noProof/>
          <w:sz w:val="24"/>
          <w:lang w:val="pl-PL"/>
        </w:rPr>
        <w:footnoteReference w:id="1"/>
      </w:r>
      <w:r w:rsidRPr="000A6916">
        <w:rPr>
          <w:rFonts w:ascii="Times New Roman" w:hAnsi="Times New Roman"/>
          <w:noProof/>
          <w:sz w:val="24"/>
          <w:lang w:val="pl-PL"/>
        </w:rPr>
        <w:t xml:space="preserve"> Komisja Europejska przyjęła decyzję,</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któ</w:t>
      </w:r>
      <w:r w:rsidRPr="000A6916">
        <w:rPr>
          <w:rFonts w:ascii="Times New Roman" w:hAnsi="Times New Roman"/>
          <w:noProof/>
          <w:sz w:val="24"/>
          <w:lang w:val="pl-PL"/>
        </w:rPr>
        <w:t>rej stwierdziła, że Japonia zapewnia odpowiedni stopień ochrony danych osobowych przekazywanych</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Uni</w:t>
      </w:r>
      <w:r w:rsidRPr="000A6916">
        <w:rPr>
          <w:rFonts w:ascii="Times New Roman" w:hAnsi="Times New Roman"/>
          <w:noProof/>
          <w:sz w:val="24"/>
          <w:lang w:val="pl-PL"/>
        </w:rPr>
        <w:t>i Europejskiej przedsiębiorstwom przetwarzającym informacje osobowe</w:t>
      </w:r>
      <w:r w:rsidRPr="000A6916">
        <w:rPr>
          <w:rStyle w:val="FootnoteReference"/>
          <w:rFonts w:ascii="Times New Roman" w:hAnsi="Times New Roman" w:cs="Times New Roman"/>
          <w:noProof/>
          <w:sz w:val="24"/>
          <w:lang w:val="pl-PL"/>
        </w:rPr>
        <w:footnoteReference w:id="2"/>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Jap</w:t>
      </w:r>
      <w:r w:rsidRPr="000A6916">
        <w:rPr>
          <w:rFonts w:ascii="Times New Roman" w:hAnsi="Times New Roman"/>
          <w:noProof/>
          <w:sz w:val="24"/>
          <w:lang w:val="pl-PL"/>
        </w:rPr>
        <w:t>onii</w:t>
      </w:r>
      <w:r w:rsidRPr="000A6916">
        <w:rPr>
          <w:rStyle w:val="FootnoteReference"/>
          <w:rFonts w:ascii="Times New Roman" w:hAnsi="Times New Roman" w:cs="Times New Roman"/>
          <w:noProof/>
          <w:sz w:val="24"/>
          <w:lang w:val="pl-PL"/>
        </w:rPr>
        <w:footnoteReference w:id="3"/>
      </w:r>
      <w:r w:rsidR="000A6916" w:rsidRPr="000A6916">
        <w:rPr>
          <w:rFonts w:ascii="Times New Roman" w:hAnsi="Times New Roman"/>
          <w:noProof/>
          <w:sz w:val="24"/>
          <w:lang w:val="pl-PL"/>
        </w:rPr>
        <w:t>. W</w:t>
      </w:r>
      <w:r w:rsidR="000A6916">
        <w:rPr>
          <w:rFonts w:ascii="Times New Roman" w:hAnsi="Times New Roman"/>
          <w:noProof/>
          <w:sz w:val="24"/>
          <w:lang w:val="pl-PL"/>
        </w:rPr>
        <w:t> </w:t>
      </w:r>
      <w:r w:rsidR="000A6916" w:rsidRPr="000A6916">
        <w:rPr>
          <w:rFonts w:ascii="Times New Roman" w:hAnsi="Times New Roman"/>
          <w:noProof/>
          <w:sz w:val="24"/>
          <w:lang w:val="pl-PL"/>
        </w:rPr>
        <w:t>rez</w:t>
      </w:r>
      <w:r w:rsidRPr="000A6916">
        <w:rPr>
          <w:rFonts w:ascii="Times New Roman" w:hAnsi="Times New Roman"/>
          <w:noProof/>
          <w:sz w:val="24"/>
          <w:lang w:val="pl-PL"/>
        </w:rPr>
        <w:t>ultacie dane z UE można przekazywać podmiotom prywatnym</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Jap</w:t>
      </w:r>
      <w:r w:rsidRPr="000A6916">
        <w:rPr>
          <w:rFonts w:ascii="Times New Roman" w:hAnsi="Times New Roman"/>
          <w:noProof/>
          <w:sz w:val="24"/>
          <w:lang w:val="pl-PL"/>
        </w:rPr>
        <w:t>onii bez konieczności spełnienia dodatkowych wymogów</w:t>
      </w:r>
      <w:r w:rsidRPr="000A6916">
        <w:rPr>
          <w:rStyle w:val="FootnoteReference"/>
          <w:rFonts w:ascii="Times New Roman" w:hAnsi="Times New Roman" w:cs="Times New Roman"/>
          <w:noProof/>
          <w:sz w:val="24"/>
          <w:lang w:val="pl-PL"/>
        </w:rPr>
        <w:footnoteReference w:id="4"/>
      </w:r>
      <w:r w:rsidRPr="000A6916">
        <w:rPr>
          <w:rFonts w:ascii="Times New Roman" w:hAnsi="Times New Roman"/>
          <w:noProof/>
          <w:sz w:val="24"/>
          <w:lang w:val="pl-PL"/>
        </w:rPr>
        <w:t xml:space="preserve">. </w:t>
      </w:r>
    </w:p>
    <w:p w14:paraId="144460B6" w14:textId="312477AE" w:rsidR="009F222A" w:rsidRPr="000A6916" w:rsidRDefault="009F222A" w:rsidP="009F222A">
      <w:pPr>
        <w:jc w:val="both"/>
        <w:rPr>
          <w:rFonts w:ascii="Times New Roman" w:hAnsi="Times New Roman" w:cs="Times New Roman"/>
          <w:noProof/>
          <w:sz w:val="24"/>
          <w:lang w:val="pl-PL"/>
        </w:rPr>
      </w:pPr>
      <w:r w:rsidRPr="000A6916">
        <w:rPr>
          <w:rFonts w:ascii="Times New Roman" w:hAnsi="Times New Roman"/>
          <w:noProof/>
          <w:sz w:val="24"/>
          <w:lang w:val="pl-PL"/>
        </w:rPr>
        <w:t>Przyjęta przez Komisję decyzja stwierdzająca odpowiedni stopień ochrony obejmuje japońską ustawę</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 wraz</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episami uzupełniającymi</w:t>
      </w:r>
      <w:r w:rsidRPr="000A6916">
        <w:rPr>
          <w:noProof/>
          <w:lang w:val="pl-PL"/>
        </w:rPr>
        <w:t xml:space="preserve"> </w:t>
      </w:r>
      <w:r w:rsidRPr="000A6916">
        <w:rPr>
          <w:rFonts w:ascii="Times New Roman" w:hAnsi="Times New Roman"/>
          <w:noProof/>
          <w:sz w:val="24"/>
          <w:lang w:val="pl-PL"/>
        </w:rPr>
        <w:t>wprowadzonymi</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cel</w:t>
      </w:r>
      <w:r w:rsidRPr="000A6916">
        <w:rPr>
          <w:rFonts w:ascii="Times New Roman" w:hAnsi="Times New Roman"/>
          <w:noProof/>
          <w:sz w:val="24"/>
          <w:lang w:val="pl-PL"/>
        </w:rPr>
        <w:t>u zatarcia określonych istotnych różnic między ustawą</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 a RODO</w:t>
      </w:r>
      <w:r w:rsidRPr="000A6916">
        <w:rPr>
          <w:rStyle w:val="FootnoteReference"/>
          <w:rFonts w:ascii="Times New Roman" w:hAnsi="Times New Roman" w:cs="Times New Roman"/>
          <w:noProof/>
          <w:sz w:val="24"/>
          <w:lang w:val="pl-PL"/>
        </w:rPr>
        <w:footnoteReference w:id="5"/>
      </w:r>
      <w:r w:rsidR="000A6916" w:rsidRPr="000A6916">
        <w:rPr>
          <w:rFonts w:ascii="Times New Roman" w:hAnsi="Times New Roman"/>
          <w:noProof/>
          <w:sz w:val="24"/>
          <w:lang w:val="pl-PL"/>
        </w:rPr>
        <w:t>. W</w:t>
      </w:r>
      <w:r w:rsidR="000A6916">
        <w:rPr>
          <w:rFonts w:ascii="Times New Roman" w:hAnsi="Times New Roman"/>
          <w:noProof/>
          <w:sz w:val="24"/>
          <w:lang w:val="pl-PL"/>
        </w:rPr>
        <w:t> </w:t>
      </w:r>
      <w:r w:rsidR="000A6916" w:rsidRPr="000A6916">
        <w:rPr>
          <w:rFonts w:ascii="Times New Roman" w:hAnsi="Times New Roman"/>
          <w:noProof/>
          <w:sz w:val="24"/>
          <w:lang w:val="pl-PL"/>
        </w:rPr>
        <w:t>ram</w:t>
      </w:r>
      <w:r w:rsidRPr="000A6916">
        <w:rPr>
          <w:rFonts w:ascii="Times New Roman" w:hAnsi="Times New Roman"/>
          <w:noProof/>
          <w:sz w:val="24"/>
          <w:lang w:val="pl-PL"/>
        </w:rPr>
        <w:t>ach tych dodatkowych zabezpieczeń na przykład zwiększono ochronę danych wrażliwych (przez rozszerzenie kategorii informacji osobowych uznawanych za dane wrażliwe), wzmocniono egzekwowanie praw indywidualnych (przez wyjaśnienie, że prawa indywidualne można również egzekwować</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odn</w:t>
      </w:r>
      <w:r w:rsidRPr="000A6916">
        <w:rPr>
          <w:rFonts w:ascii="Times New Roman" w:hAnsi="Times New Roman"/>
          <w:noProof/>
          <w:sz w:val="24"/>
          <w:lang w:val="pl-PL"/>
        </w:rPr>
        <w:t>iesieniu do danych osobowych zatrzymanych przez okres krótszy niż sześć miesięcy, czego</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tam</w:t>
      </w:r>
      <w:r w:rsidRPr="000A6916">
        <w:rPr>
          <w:rFonts w:ascii="Times New Roman" w:hAnsi="Times New Roman"/>
          <w:noProof/>
          <w:sz w:val="24"/>
          <w:lang w:val="pl-PL"/>
        </w:rPr>
        <w:t>tym czasie nie przewidziano</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ust</w:t>
      </w:r>
      <w:r w:rsidRPr="000A6916">
        <w:rPr>
          <w:rFonts w:ascii="Times New Roman" w:hAnsi="Times New Roman"/>
          <w:noProof/>
          <w:sz w:val="24"/>
          <w:lang w:val="pl-PL"/>
        </w:rPr>
        <w:t>awie</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w:t>
      </w:r>
      <w:r w:rsidRPr="000A6916">
        <w:rPr>
          <w:rStyle w:val="FootnoteReference"/>
          <w:rFonts w:ascii="Times New Roman" w:hAnsi="Times New Roman" w:cs="Times New Roman"/>
          <w:noProof/>
          <w:sz w:val="24"/>
          <w:lang w:val="pl-PL"/>
        </w:rPr>
        <w:footnoteReference w:id="6"/>
      </w:r>
      <w:r w:rsidRPr="000A6916">
        <w:rPr>
          <w:rFonts w:ascii="Times New Roman" w:hAnsi="Times New Roman"/>
          <w:noProof/>
          <w:sz w:val="24"/>
          <w:lang w:val="pl-PL"/>
        </w:rPr>
        <w:t xml:space="preserve"> oraz umocniono warunki, na których dane UE można dalej przekazywać</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Jap</w:t>
      </w:r>
      <w:r w:rsidRPr="000A6916">
        <w:rPr>
          <w:rFonts w:ascii="Times New Roman" w:hAnsi="Times New Roman"/>
          <w:noProof/>
          <w:sz w:val="24"/>
          <w:lang w:val="pl-PL"/>
        </w:rPr>
        <w:t>onii do innego państwa trzeciego</w:t>
      </w:r>
      <w:r w:rsidRPr="000A6916">
        <w:rPr>
          <w:rStyle w:val="FootnoteReference"/>
          <w:rFonts w:ascii="Times New Roman" w:hAnsi="Times New Roman" w:cs="Times New Roman"/>
          <w:noProof/>
          <w:sz w:val="24"/>
          <w:lang w:val="pl-PL"/>
        </w:rPr>
        <w:footnoteReference w:id="7"/>
      </w:r>
      <w:r w:rsidRPr="000A6916">
        <w:rPr>
          <w:rFonts w:ascii="Times New Roman" w:hAnsi="Times New Roman"/>
          <w:noProof/>
          <w:sz w:val="24"/>
          <w:lang w:val="pl-PL"/>
        </w:rPr>
        <w:t>. Przepisy uzupełniające są wiążące dla podmiotów japońskich</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mog</w:t>
      </w:r>
      <w:r w:rsidRPr="000A6916">
        <w:rPr>
          <w:rFonts w:ascii="Times New Roman" w:hAnsi="Times New Roman"/>
          <w:noProof/>
          <w:sz w:val="24"/>
          <w:lang w:val="pl-PL"/>
        </w:rPr>
        <w:t>ą być egzekwowane przez niezależny organ ochrony danych – Komisję ds. Ochrony Informacji Osobowych – lub bezpośrednio przez obywateli UE przed japońskimi sądami</w:t>
      </w:r>
      <w:r w:rsidRPr="000A6916">
        <w:rPr>
          <w:rStyle w:val="FootnoteReference"/>
          <w:rFonts w:ascii="Times New Roman" w:hAnsi="Times New Roman" w:cs="Times New Roman"/>
          <w:noProof/>
          <w:sz w:val="24"/>
          <w:lang w:val="pl-PL"/>
        </w:rPr>
        <w:footnoteReference w:id="8"/>
      </w:r>
      <w:r w:rsidRPr="000A6916">
        <w:rPr>
          <w:rFonts w:ascii="Times New Roman" w:hAnsi="Times New Roman"/>
          <w:noProof/>
          <w:sz w:val="24"/>
          <w:lang w:val="pl-PL"/>
        </w:rPr>
        <w:t>.</w:t>
      </w:r>
    </w:p>
    <w:p w14:paraId="4468D202" w14:textId="7BFAD32E" w:rsidR="007F07B8" w:rsidRPr="000A6916" w:rsidRDefault="009F222A" w:rsidP="00EF1A47">
      <w:pPr>
        <w:jc w:val="both"/>
        <w:rPr>
          <w:rFonts w:ascii="Times New Roman" w:hAnsi="Times New Roman" w:cs="Times New Roman"/>
          <w:noProof/>
          <w:sz w:val="24"/>
          <w:lang w:val="pl-PL"/>
        </w:rPr>
      </w:pPr>
      <w:r w:rsidRPr="000A6916">
        <w:rPr>
          <w:rFonts w:ascii="Times New Roman" w:hAnsi="Times New Roman"/>
          <w:noProof/>
          <w:sz w:val="24"/>
          <w:lang w:val="pl-PL"/>
        </w:rPr>
        <w:t xml:space="preserve">Rząd Japonii przekazał ponadto </w:t>
      </w:r>
      <w:bookmarkStart w:id="2" w:name="_Hlk102032648"/>
      <w:r w:rsidRPr="000A6916">
        <w:rPr>
          <w:rFonts w:ascii="Times New Roman" w:hAnsi="Times New Roman"/>
          <w:noProof/>
          <w:sz w:val="24"/>
          <w:lang w:val="pl-PL"/>
        </w:rPr>
        <w:t>Komisji oficjalne oświadczenia, zapewnienia</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zob</w:t>
      </w:r>
      <w:r w:rsidRPr="000A6916">
        <w:rPr>
          <w:rFonts w:ascii="Times New Roman" w:hAnsi="Times New Roman"/>
          <w:noProof/>
          <w:sz w:val="24"/>
          <w:lang w:val="pl-PL"/>
        </w:rPr>
        <w:t xml:space="preserve">owiązania </w:t>
      </w:r>
      <w:bookmarkEnd w:id="2"/>
      <w:r w:rsidRPr="000A6916">
        <w:rPr>
          <w:rFonts w:ascii="Times New Roman" w:hAnsi="Times New Roman"/>
          <w:noProof/>
          <w:sz w:val="24"/>
          <w:lang w:val="pl-PL"/>
        </w:rPr>
        <w:t>dotyczące ograniczeń</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zab</w:t>
      </w:r>
      <w:r w:rsidRPr="000A6916">
        <w:rPr>
          <w:rFonts w:ascii="Times New Roman" w:hAnsi="Times New Roman"/>
          <w:noProof/>
          <w:sz w:val="24"/>
          <w:lang w:val="pl-PL"/>
        </w:rPr>
        <w:t>ezpieczeń</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odn</w:t>
      </w:r>
      <w:r w:rsidRPr="000A6916">
        <w:rPr>
          <w:rFonts w:ascii="Times New Roman" w:hAnsi="Times New Roman"/>
          <w:noProof/>
          <w:sz w:val="24"/>
          <w:lang w:val="pl-PL"/>
        </w:rPr>
        <w:t>iesieniu do dostępu japońskich organów publicznych do danych osobowych do celów ścigania przestępstw i do celów dotyczących bezpieczeństwa narodowego oraz wykorzystania danych osobowych do takich celów przez japońskie organy publiczne, zawierające wyjaśnienie, że każde tego typu przetwarzanie danych będzie ograniczone do tego, co jest konieczne</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pro</w:t>
      </w:r>
      <w:r w:rsidRPr="000A6916">
        <w:rPr>
          <w:rFonts w:ascii="Times New Roman" w:hAnsi="Times New Roman"/>
          <w:noProof/>
          <w:sz w:val="24"/>
          <w:lang w:val="pl-PL"/>
        </w:rPr>
        <w:t>porcjonalne, oraz będzie objęte niezależnym nadzorem</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sku</w:t>
      </w:r>
      <w:r w:rsidRPr="000A6916">
        <w:rPr>
          <w:rFonts w:ascii="Times New Roman" w:hAnsi="Times New Roman"/>
          <w:noProof/>
          <w:sz w:val="24"/>
          <w:lang w:val="pl-PL"/>
        </w:rPr>
        <w:t>tecznymi mechanizmami dochodzenia roszczeń</w:t>
      </w:r>
      <w:r w:rsidRPr="000A6916">
        <w:rPr>
          <w:rStyle w:val="FootnoteReference"/>
          <w:rFonts w:ascii="Times New Roman" w:hAnsi="Times New Roman" w:cs="Times New Roman"/>
          <w:noProof/>
          <w:sz w:val="24"/>
          <w:lang w:val="pl-PL"/>
        </w:rPr>
        <w:footnoteReference w:id="9"/>
      </w:r>
      <w:r w:rsidR="000A6916" w:rsidRPr="000A6916">
        <w:rPr>
          <w:rFonts w:ascii="Times New Roman" w:hAnsi="Times New Roman"/>
          <w:noProof/>
          <w:sz w:val="24"/>
          <w:lang w:val="pl-PL"/>
        </w:rPr>
        <w:t>.</w:t>
      </w:r>
      <w:r w:rsidR="000A6916" w:rsidRPr="000A6916">
        <w:rPr>
          <w:noProof/>
          <w:lang w:val="pl-PL"/>
        </w:rPr>
        <w:t xml:space="preserve"> </w:t>
      </w:r>
      <w:r w:rsidR="000A6916" w:rsidRPr="000A6916">
        <w:rPr>
          <w:rFonts w:ascii="Times New Roman" w:hAnsi="Times New Roman"/>
          <w:noProof/>
          <w:sz w:val="24"/>
          <w:lang w:val="pl-PL"/>
        </w:rPr>
        <w:t>W</w:t>
      </w:r>
      <w:r w:rsidR="000A6916">
        <w:rPr>
          <w:rFonts w:ascii="Times New Roman" w:hAnsi="Times New Roman"/>
          <w:noProof/>
          <w:sz w:val="24"/>
          <w:lang w:val="pl-PL"/>
        </w:rPr>
        <w:t> </w:t>
      </w:r>
      <w:r w:rsidR="000A6916" w:rsidRPr="000A6916">
        <w:rPr>
          <w:rFonts w:ascii="Times New Roman" w:hAnsi="Times New Roman"/>
          <w:noProof/>
          <w:sz w:val="24"/>
          <w:lang w:val="pl-PL"/>
        </w:rPr>
        <w:t>tym</w:t>
      </w:r>
      <w:r w:rsidRPr="000A6916">
        <w:rPr>
          <w:rFonts w:ascii="Times New Roman" w:hAnsi="Times New Roman"/>
          <w:noProof/>
          <w:sz w:val="24"/>
          <w:lang w:val="pl-PL"/>
        </w:rPr>
        <w:t xml:space="preserve"> przypadku mechanizmy dochodzenia roszczeń obejmują szczególną procedurę rozstrzygania sporów – zarządzaną</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nad</w:t>
      </w:r>
      <w:r w:rsidRPr="000A6916">
        <w:rPr>
          <w:rFonts w:ascii="Times New Roman" w:hAnsi="Times New Roman"/>
          <w:noProof/>
          <w:sz w:val="24"/>
          <w:lang w:val="pl-PL"/>
        </w:rPr>
        <w:t>zorowaną przez Komisję ds. Ochrony Informacji Osobowych – opracowaną dla osób fizycznych z UE, których dane osobowe są przekazywane na podstawie decyzji stwierdzającej odpowiedni stopień ochrony</w:t>
      </w:r>
      <w:r w:rsidRPr="000A6916">
        <w:rPr>
          <w:rStyle w:val="FootnoteReference"/>
          <w:rFonts w:ascii="Times New Roman" w:hAnsi="Times New Roman" w:cs="Times New Roman"/>
          <w:noProof/>
          <w:sz w:val="24"/>
          <w:lang w:val="pl-PL"/>
        </w:rPr>
        <w:footnoteReference w:id="10"/>
      </w:r>
      <w:r w:rsidRPr="000A6916">
        <w:rPr>
          <w:rFonts w:ascii="Times New Roman" w:hAnsi="Times New Roman"/>
          <w:noProof/>
          <w:sz w:val="24"/>
          <w:lang w:val="pl-PL"/>
        </w:rPr>
        <w:t xml:space="preserve">. </w:t>
      </w:r>
    </w:p>
    <w:p w14:paraId="2F95EC9D" w14:textId="70B86945" w:rsidR="00607EB3" w:rsidRPr="000A6916" w:rsidRDefault="00BC1349" w:rsidP="001B0AE9">
      <w:pPr>
        <w:jc w:val="both"/>
        <w:rPr>
          <w:rFonts w:ascii="Times New Roman" w:hAnsi="Times New Roman" w:cs="Times New Roman"/>
          <w:noProof/>
          <w:sz w:val="24"/>
          <w:lang w:val="pl-PL"/>
        </w:rPr>
      </w:pPr>
      <w:r w:rsidRPr="000A6916">
        <w:rPr>
          <w:rFonts w:ascii="Times New Roman" w:hAnsi="Times New Roman"/>
          <w:noProof/>
          <w:sz w:val="24"/>
          <w:lang w:val="pl-PL"/>
        </w:rPr>
        <w:t>W czasie przyjęcia przez Komisję decyzji stwierdzającej odpowiedni stopień ochrony Japonia przyjęła równoważną decyzję dotyczącą przekazywania danych do UE, co skutkowało utworzeniem największego na świecie obszaru bezpiecznego przepływu danych opartego na wysokim poziomie ochrony danych</w:t>
      </w:r>
      <w:r w:rsidRPr="000A6916">
        <w:rPr>
          <w:rStyle w:val="FootnoteReference"/>
          <w:rFonts w:ascii="Times New Roman" w:hAnsi="Times New Roman" w:cs="Times New Roman"/>
          <w:noProof/>
          <w:sz w:val="24"/>
          <w:lang w:val="pl-PL"/>
        </w:rPr>
        <w:footnoteReference w:id="11"/>
      </w:r>
      <w:r w:rsidRPr="000A6916">
        <w:rPr>
          <w:rFonts w:ascii="Times New Roman" w:hAnsi="Times New Roman"/>
          <w:noProof/>
          <w:sz w:val="24"/>
          <w:lang w:val="pl-PL"/>
        </w:rPr>
        <w:t>. Te wzajemne decyzje stwierdzające odpowiedni stopień ochrony uzupełniają</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zwi</w:t>
      </w:r>
      <w:r w:rsidRPr="000A6916">
        <w:rPr>
          <w:rFonts w:ascii="Times New Roman" w:hAnsi="Times New Roman"/>
          <w:noProof/>
          <w:sz w:val="24"/>
          <w:lang w:val="pl-PL"/>
        </w:rPr>
        <w:t>ększają korzyści wynikające</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umo</w:t>
      </w:r>
      <w:r w:rsidRPr="000A6916">
        <w:rPr>
          <w:rFonts w:ascii="Times New Roman" w:hAnsi="Times New Roman"/>
          <w:noProof/>
          <w:sz w:val="24"/>
          <w:lang w:val="pl-PL"/>
        </w:rPr>
        <w:t>wy</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par</w:t>
      </w:r>
      <w:r w:rsidRPr="000A6916">
        <w:rPr>
          <w:rFonts w:ascii="Times New Roman" w:hAnsi="Times New Roman"/>
          <w:noProof/>
          <w:sz w:val="24"/>
          <w:lang w:val="pl-PL"/>
        </w:rPr>
        <w:t>tnerstwie gospodarczym między UE</w:t>
      </w:r>
      <w:r w:rsidR="000A6916" w:rsidRPr="000A6916">
        <w:rPr>
          <w:rFonts w:ascii="Times New Roman" w:hAnsi="Times New Roman"/>
          <w:noProof/>
          <w:sz w:val="24"/>
          <w:lang w:val="pl-PL"/>
        </w:rPr>
        <w:t xml:space="preserve"> a</w:t>
      </w:r>
      <w:r w:rsidR="000A6916">
        <w:rPr>
          <w:rFonts w:ascii="Times New Roman" w:hAnsi="Times New Roman"/>
          <w:noProof/>
          <w:sz w:val="24"/>
          <w:lang w:val="pl-PL"/>
        </w:rPr>
        <w:t> </w:t>
      </w:r>
      <w:r w:rsidR="000A6916" w:rsidRPr="000A6916">
        <w:rPr>
          <w:rFonts w:ascii="Times New Roman" w:hAnsi="Times New Roman"/>
          <w:noProof/>
          <w:sz w:val="24"/>
          <w:lang w:val="pl-PL"/>
        </w:rPr>
        <w:t>Jap</w:t>
      </w:r>
      <w:r w:rsidRPr="000A6916">
        <w:rPr>
          <w:rFonts w:ascii="Times New Roman" w:hAnsi="Times New Roman"/>
          <w:noProof/>
          <w:sz w:val="24"/>
          <w:lang w:val="pl-PL"/>
        </w:rPr>
        <w:t>onią (umowa</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par</w:t>
      </w:r>
      <w:r w:rsidRPr="000A6916">
        <w:rPr>
          <w:rFonts w:ascii="Times New Roman" w:hAnsi="Times New Roman"/>
          <w:noProof/>
          <w:sz w:val="24"/>
          <w:lang w:val="pl-PL"/>
        </w:rPr>
        <w:t>tnerstwie gospodarczym), która weszła</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życ</w:t>
      </w:r>
      <w:r w:rsidRPr="000A6916">
        <w:rPr>
          <w:rFonts w:ascii="Times New Roman" w:hAnsi="Times New Roman"/>
          <w:noProof/>
          <w:sz w:val="24"/>
          <w:lang w:val="pl-PL"/>
        </w:rPr>
        <w:t>ie</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lut</w:t>
      </w:r>
      <w:r w:rsidRPr="000A6916">
        <w:rPr>
          <w:rFonts w:ascii="Times New Roman" w:hAnsi="Times New Roman"/>
          <w:noProof/>
          <w:sz w:val="24"/>
          <w:lang w:val="pl-PL"/>
        </w:rPr>
        <w:t>ym 2019</w:t>
      </w:r>
      <w:r w:rsidR="000A6916" w:rsidRPr="000A6916">
        <w:rPr>
          <w:rFonts w:ascii="Times New Roman" w:hAnsi="Times New Roman"/>
          <w:noProof/>
          <w:sz w:val="24"/>
          <w:lang w:val="pl-PL"/>
        </w:rPr>
        <w:t> </w:t>
      </w:r>
      <w:r w:rsidRPr="000A6916">
        <w:rPr>
          <w:rFonts w:ascii="Times New Roman" w:hAnsi="Times New Roman"/>
          <w:noProof/>
          <w:sz w:val="24"/>
          <w:lang w:val="pl-PL"/>
        </w:rPr>
        <w:t>r.</w:t>
      </w:r>
      <w:r w:rsidRPr="000A6916">
        <w:rPr>
          <w:rStyle w:val="FootnoteReference"/>
          <w:rFonts w:ascii="Times New Roman" w:hAnsi="Times New Roman" w:cs="Times New Roman"/>
          <w:noProof/>
          <w:sz w:val="24"/>
          <w:lang w:val="pl-PL"/>
        </w:rPr>
        <w:footnoteReference w:id="12"/>
      </w:r>
      <w:r w:rsidRPr="000A6916">
        <w:rPr>
          <w:rFonts w:ascii="Times New Roman" w:hAnsi="Times New Roman"/>
          <w:noProof/>
          <w:sz w:val="24"/>
          <w:lang w:val="pl-PL"/>
        </w:rPr>
        <w:t>,</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umo</w:t>
      </w:r>
      <w:r w:rsidRPr="000A6916">
        <w:rPr>
          <w:rFonts w:ascii="Times New Roman" w:hAnsi="Times New Roman"/>
          <w:noProof/>
          <w:sz w:val="24"/>
          <w:lang w:val="pl-PL"/>
        </w:rPr>
        <w:t>wy</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par</w:t>
      </w:r>
      <w:r w:rsidRPr="000A6916">
        <w:rPr>
          <w:rFonts w:ascii="Times New Roman" w:hAnsi="Times New Roman"/>
          <w:noProof/>
          <w:sz w:val="24"/>
          <w:lang w:val="pl-PL"/>
        </w:rPr>
        <w:t>tnerstwie strategicznym</w:t>
      </w:r>
      <w:r w:rsidRPr="000A6916">
        <w:rPr>
          <w:rStyle w:val="FootnoteReference"/>
          <w:rFonts w:ascii="Times New Roman" w:hAnsi="Times New Roman" w:cs="Times New Roman"/>
          <w:noProof/>
          <w:sz w:val="24"/>
          <w:lang w:val="pl-PL"/>
        </w:rPr>
        <w:footnoteReference w:id="13"/>
      </w:r>
      <w:r w:rsidRPr="000A6916">
        <w:rPr>
          <w:rFonts w:ascii="Times New Roman" w:hAnsi="Times New Roman"/>
          <w:noProof/>
          <w:sz w:val="24"/>
          <w:lang w:val="pl-PL"/>
        </w:rPr>
        <w:t xml:space="preserve"> wynegocjowanej wraz</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umo</w:t>
      </w:r>
      <w:r w:rsidRPr="000A6916">
        <w:rPr>
          <w:rFonts w:ascii="Times New Roman" w:hAnsi="Times New Roman"/>
          <w:noProof/>
          <w:sz w:val="24"/>
          <w:lang w:val="pl-PL"/>
        </w:rPr>
        <w:t>wą</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par</w:t>
      </w:r>
      <w:r w:rsidRPr="000A6916">
        <w:rPr>
          <w:rFonts w:ascii="Times New Roman" w:hAnsi="Times New Roman"/>
          <w:noProof/>
          <w:sz w:val="24"/>
          <w:lang w:val="pl-PL"/>
        </w:rPr>
        <w:t>tnerstwie gospodarczym. Przedsiębiorstwa obu stron korzystają</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syn</w:t>
      </w:r>
      <w:r w:rsidRPr="000A6916">
        <w:rPr>
          <w:rFonts w:ascii="Times New Roman" w:hAnsi="Times New Roman"/>
          <w:noProof/>
          <w:sz w:val="24"/>
          <w:lang w:val="pl-PL"/>
        </w:rPr>
        <w:t>ergii między wzajemnymi decyzjami stwierdzającymi odpowiedni stopień ochrony</w:t>
      </w:r>
      <w:r w:rsidR="000A6916" w:rsidRPr="000A6916">
        <w:rPr>
          <w:rFonts w:ascii="Times New Roman" w:hAnsi="Times New Roman"/>
          <w:noProof/>
          <w:sz w:val="24"/>
          <w:lang w:val="pl-PL"/>
        </w:rPr>
        <w:t xml:space="preserve"> a</w:t>
      </w:r>
      <w:r w:rsidR="000A6916">
        <w:rPr>
          <w:rFonts w:ascii="Times New Roman" w:hAnsi="Times New Roman"/>
          <w:noProof/>
          <w:sz w:val="24"/>
          <w:lang w:val="pl-PL"/>
        </w:rPr>
        <w:t> </w:t>
      </w:r>
      <w:r w:rsidR="000A6916" w:rsidRPr="000A6916">
        <w:rPr>
          <w:rFonts w:ascii="Times New Roman" w:hAnsi="Times New Roman"/>
          <w:noProof/>
          <w:sz w:val="24"/>
          <w:lang w:val="pl-PL"/>
        </w:rPr>
        <w:t>umo</w:t>
      </w:r>
      <w:r w:rsidRPr="000A6916">
        <w:rPr>
          <w:rFonts w:ascii="Times New Roman" w:hAnsi="Times New Roman"/>
          <w:noProof/>
          <w:sz w:val="24"/>
          <w:lang w:val="pl-PL"/>
        </w:rPr>
        <w:t>wą</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par</w:t>
      </w:r>
      <w:r w:rsidRPr="000A6916">
        <w:rPr>
          <w:rFonts w:ascii="Times New Roman" w:hAnsi="Times New Roman"/>
          <w:noProof/>
          <w:sz w:val="24"/>
          <w:lang w:val="pl-PL"/>
        </w:rPr>
        <w:t>tnerstwie gospodarczym, ponieważ możliwość swobodnego przepływu danych między UE</w:t>
      </w:r>
      <w:r w:rsidR="000A6916" w:rsidRPr="000A6916">
        <w:rPr>
          <w:rFonts w:ascii="Times New Roman" w:hAnsi="Times New Roman"/>
          <w:noProof/>
          <w:sz w:val="24"/>
          <w:lang w:val="pl-PL"/>
        </w:rPr>
        <w:t xml:space="preserve"> a</w:t>
      </w:r>
      <w:r w:rsidR="000A6916">
        <w:rPr>
          <w:rFonts w:ascii="Times New Roman" w:hAnsi="Times New Roman"/>
          <w:noProof/>
          <w:sz w:val="24"/>
          <w:lang w:val="pl-PL"/>
        </w:rPr>
        <w:t> </w:t>
      </w:r>
      <w:r w:rsidR="000A6916" w:rsidRPr="000A6916">
        <w:rPr>
          <w:rFonts w:ascii="Times New Roman" w:hAnsi="Times New Roman"/>
          <w:noProof/>
          <w:sz w:val="24"/>
          <w:lang w:val="pl-PL"/>
        </w:rPr>
        <w:t>Jap</w:t>
      </w:r>
      <w:r w:rsidRPr="000A6916">
        <w:rPr>
          <w:rFonts w:ascii="Times New Roman" w:hAnsi="Times New Roman"/>
          <w:noProof/>
          <w:sz w:val="24"/>
          <w:lang w:val="pl-PL"/>
        </w:rPr>
        <w:t>onią jeszcze bardziej ułatwia prowadzenie wymiany handlowej</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yczynia się do powstawania znaczących możliwości rynkowych dzięki uprzywilejowanemu dostępowi do rynku drugiej strony</w:t>
      </w:r>
      <w:r w:rsidR="000A6916" w:rsidRPr="000A6916">
        <w:rPr>
          <w:rFonts w:ascii="Times New Roman" w:hAnsi="Times New Roman"/>
          <w:noProof/>
          <w:sz w:val="24"/>
          <w:lang w:val="pl-PL"/>
        </w:rPr>
        <w:t>. W</w:t>
      </w:r>
      <w:r w:rsidR="000A6916">
        <w:rPr>
          <w:rFonts w:ascii="Times New Roman" w:hAnsi="Times New Roman"/>
          <w:noProof/>
          <w:sz w:val="24"/>
          <w:lang w:val="pl-PL"/>
        </w:rPr>
        <w:t> </w:t>
      </w:r>
      <w:r w:rsidR="000A6916" w:rsidRPr="000A6916">
        <w:rPr>
          <w:rFonts w:ascii="Times New Roman" w:hAnsi="Times New Roman"/>
          <w:noProof/>
          <w:sz w:val="24"/>
          <w:lang w:val="pl-PL"/>
        </w:rPr>
        <w:t>ten</w:t>
      </w:r>
      <w:r w:rsidRPr="000A6916">
        <w:rPr>
          <w:rFonts w:ascii="Times New Roman" w:hAnsi="Times New Roman"/>
          <w:noProof/>
          <w:sz w:val="24"/>
          <w:lang w:val="pl-PL"/>
        </w:rPr>
        <w:t xml:space="preserve"> sposób ustanowiono również istotny precedens przez wyraźne wskazanie, że</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epo</w:t>
      </w:r>
      <w:r w:rsidRPr="000A6916">
        <w:rPr>
          <w:rFonts w:ascii="Times New Roman" w:hAnsi="Times New Roman"/>
          <w:noProof/>
          <w:sz w:val="24"/>
          <w:lang w:val="pl-PL"/>
        </w:rPr>
        <w:t>ce cyfrowej ułatwianie handlu międzynarodowego musi iść</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par</w:t>
      </w:r>
      <w:r w:rsidRPr="000A6916">
        <w:rPr>
          <w:rFonts w:ascii="Times New Roman" w:hAnsi="Times New Roman"/>
          <w:noProof/>
          <w:sz w:val="24"/>
          <w:lang w:val="pl-PL"/>
        </w:rPr>
        <w:t>ze</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pro</w:t>
      </w:r>
      <w:r w:rsidRPr="000A6916">
        <w:rPr>
          <w:rFonts w:ascii="Times New Roman" w:hAnsi="Times New Roman"/>
          <w:noProof/>
          <w:sz w:val="24"/>
          <w:lang w:val="pl-PL"/>
        </w:rPr>
        <w:t>mowaniem wysokich norm ochrony prywatności.</w:t>
      </w:r>
    </w:p>
    <w:p w14:paraId="09CA1F8D" w14:textId="7A28BCF8" w:rsidR="007E5662" w:rsidRPr="000A6916" w:rsidRDefault="007E5662" w:rsidP="001B0AE9">
      <w:pPr>
        <w:jc w:val="both"/>
        <w:rPr>
          <w:rFonts w:ascii="Times New Roman" w:hAnsi="Times New Roman" w:cs="Times New Roman"/>
          <w:noProof/>
          <w:sz w:val="24"/>
          <w:lang w:val="pl-PL"/>
        </w:rPr>
      </w:pPr>
      <w:r w:rsidRPr="000A6916">
        <w:rPr>
          <w:rFonts w:ascii="Times New Roman" w:hAnsi="Times New Roman"/>
          <w:noProof/>
          <w:sz w:val="24"/>
          <w:lang w:val="pl-PL"/>
        </w:rPr>
        <w:t>Od czasu przyjęcia decyzji stwierdzających odpowiedni stopień ochrony UE</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Jap</w:t>
      </w:r>
      <w:r w:rsidRPr="000A6916">
        <w:rPr>
          <w:rFonts w:ascii="Times New Roman" w:hAnsi="Times New Roman"/>
          <w:noProof/>
          <w:sz w:val="24"/>
          <w:lang w:val="pl-PL"/>
        </w:rPr>
        <w:t>onia, jako podobnie myślący partnerzy, jeszcze bardziej uściśliły współpracę</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ogó</w:t>
      </w:r>
      <w:r w:rsidRPr="000A6916">
        <w:rPr>
          <w:rFonts w:ascii="Times New Roman" w:hAnsi="Times New Roman"/>
          <w:noProof/>
          <w:sz w:val="24"/>
          <w:lang w:val="pl-PL"/>
        </w:rPr>
        <w:t>lnym zakresie kwestii cyfrowych,</w:t>
      </w:r>
      <w:r w:rsidR="000A6916" w:rsidRPr="000A6916">
        <w:rPr>
          <w:rFonts w:ascii="Times New Roman" w:hAnsi="Times New Roman"/>
          <w:noProof/>
          <w:sz w:val="24"/>
          <w:lang w:val="pl-PL"/>
        </w:rPr>
        <w:t xml:space="preserve"> a</w:t>
      </w:r>
      <w:r w:rsidR="000A6916">
        <w:rPr>
          <w:rFonts w:ascii="Times New Roman" w:hAnsi="Times New Roman"/>
          <w:noProof/>
          <w:sz w:val="24"/>
          <w:lang w:val="pl-PL"/>
        </w:rPr>
        <w:t> </w:t>
      </w:r>
      <w:r w:rsidR="000A6916" w:rsidRPr="000A6916">
        <w:rPr>
          <w:rFonts w:ascii="Times New Roman" w:hAnsi="Times New Roman"/>
          <w:noProof/>
          <w:sz w:val="24"/>
          <w:lang w:val="pl-PL"/>
        </w:rPr>
        <w:t>w</w:t>
      </w:r>
      <w:r w:rsidR="000A6916">
        <w:rPr>
          <w:rFonts w:ascii="Times New Roman" w:hAnsi="Times New Roman"/>
          <w:noProof/>
          <w:sz w:val="24"/>
          <w:lang w:val="pl-PL"/>
        </w:rPr>
        <w:t> </w:t>
      </w:r>
      <w:r w:rsidR="000A6916" w:rsidRPr="000A6916">
        <w:rPr>
          <w:rFonts w:ascii="Times New Roman" w:hAnsi="Times New Roman"/>
          <w:noProof/>
          <w:sz w:val="24"/>
          <w:lang w:val="pl-PL"/>
        </w:rPr>
        <w:t>szc</w:t>
      </w:r>
      <w:r w:rsidRPr="000A6916">
        <w:rPr>
          <w:rFonts w:ascii="Times New Roman" w:hAnsi="Times New Roman"/>
          <w:noProof/>
          <w:sz w:val="24"/>
          <w:lang w:val="pl-PL"/>
        </w:rPr>
        <w:t>zególności</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zak</w:t>
      </w:r>
      <w:r w:rsidRPr="000A6916">
        <w:rPr>
          <w:rFonts w:ascii="Times New Roman" w:hAnsi="Times New Roman"/>
          <w:noProof/>
          <w:sz w:val="24"/>
          <w:lang w:val="pl-PL"/>
        </w:rPr>
        <w:t>resie przepływu danych. Na poziomie dwustronnym wyrazem tej ściślejszej współpracy jest</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szc</w:t>
      </w:r>
      <w:r w:rsidRPr="000A6916">
        <w:rPr>
          <w:rFonts w:ascii="Times New Roman" w:hAnsi="Times New Roman"/>
          <w:noProof/>
          <w:sz w:val="24"/>
          <w:lang w:val="pl-PL"/>
        </w:rPr>
        <w:t>zególności zawarcie partnerstwa cyfrowego</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maj</w:t>
      </w:r>
      <w:r w:rsidRPr="000A6916">
        <w:rPr>
          <w:rFonts w:ascii="Times New Roman" w:hAnsi="Times New Roman"/>
          <w:noProof/>
          <w:sz w:val="24"/>
          <w:lang w:val="pl-PL"/>
        </w:rPr>
        <w:t>u 2022</w:t>
      </w:r>
      <w:r w:rsidR="000A6916" w:rsidRPr="000A6916">
        <w:rPr>
          <w:rFonts w:ascii="Times New Roman" w:hAnsi="Times New Roman"/>
          <w:noProof/>
          <w:sz w:val="24"/>
          <w:lang w:val="pl-PL"/>
        </w:rPr>
        <w:t> </w:t>
      </w:r>
      <w:r w:rsidRPr="000A6916">
        <w:rPr>
          <w:rFonts w:ascii="Times New Roman" w:hAnsi="Times New Roman"/>
          <w:noProof/>
          <w:sz w:val="24"/>
          <w:lang w:val="pl-PL"/>
        </w:rPr>
        <w:t>r.</w:t>
      </w:r>
      <w:r w:rsidRPr="000A6916">
        <w:rPr>
          <w:rStyle w:val="FootnoteReference"/>
          <w:rFonts w:ascii="Times New Roman" w:hAnsi="Times New Roman" w:cs="Times New Roman"/>
          <w:noProof/>
          <w:sz w:val="24"/>
          <w:lang w:val="pl-PL"/>
        </w:rPr>
        <w:footnoteReference w:id="14"/>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roz</w:t>
      </w:r>
      <w:r w:rsidRPr="000A6916">
        <w:rPr>
          <w:rFonts w:ascii="Times New Roman" w:hAnsi="Times New Roman"/>
          <w:noProof/>
          <w:sz w:val="24"/>
          <w:lang w:val="pl-PL"/>
        </w:rPr>
        <w:t>poczęcie negocjacji</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paź</w:t>
      </w:r>
      <w:r w:rsidRPr="000A6916">
        <w:rPr>
          <w:rFonts w:ascii="Times New Roman" w:hAnsi="Times New Roman"/>
          <w:noProof/>
          <w:sz w:val="24"/>
          <w:lang w:val="pl-PL"/>
        </w:rPr>
        <w:t>dzierniku 2022</w:t>
      </w:r>
      <w:r w:rsidR="000A6916" w:rsidRPr="000A6916">
        <w:rPr>
          <w:rFonts w:ascii="Times New Roman" w:hAnsi="Times New Roman"/>
          <w:noProof/>
          <w:sz w:val="24"/>
          <w:lang w:val="pl-PL"/>
        </w:rPr>
        <w:t> </w:t>
      </w:r>
      <w:r w:rsidRPr="000A6916">
        <w:rPr>
          <w:rFonts w:ascii="Times New Roman" w:hAnsi="Times New Roman"/>
          <w:noProof/>
          <w:sz w:val="24"/>
          <w:lang w:val="pl-PL"/>
        </w:rPr>
        <w:t>r.</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spr</w:t>
      </w:r>
      <w:r w:rsidRPr="000A6916">
        <w:rPr>
          <w:rFonts w:ascii="Times New Roman" w:hAnsi="Times New Roman"/>
          <w:noProof/>
          <w:sz w:val="24"/>
          <w:lang w:val="pl-PL"/>
        </w:rPr>
        <w:t>awie uwzględnienia zasad dotyczących transgranicznego przepływu danych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umo</w:t>
      </w:r>
      <w:r w:rsidRPr="000A6916">
        <w:rPr>
          <w:rFonts w:ascii="Times New Roman" w:hAnsi="Times New Roman"/>
          <w:noProof/>
          <w:sz w:val="24"/>
          <w:lang w:val="pl-PL"/>
        </w:rPr>
        <w:t>wie</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par</w:t>
      </w:r>
      <w:r w:rsidRPr="000A6916">
        <w:rPr>
          <w:rFonts w:ascii="Times New Roman" w:hAnsi="Times New Roman"/>
          <w:noProof/>
          <w:sz w:val="24"/>
          <w:lang w:val="pl-PL"/>
        </w:rPr>
        <w:t>tnerstwie gospodarczym</w:t>
      </w:r>
      <w:r w:rsidRPr="000A6916">
        <w:rPr>
          <w:rStyle w:val="FootnoteReference"/>
          <w:rFonts w:ascii="Times New Roman" w:hAnsi="Times New Roman" w:cs="Times New Roman"/>
          <w:noProof/>
          <w:sz w:val="24"/>
          <w:lang w:val="pl-PL"/>
        </w:rPr>
        <w:footnoteReference w:id="15"/>
      </w:r>
      <w:r w:rsidRPr="000A6916">
        <w:rPr>
          <w:rFonts w:ascii="Times New Roman" w:hAnsi="Times New Roman"/>
          <w:noProof/>
          <w:sz w:val="24"/>
          <w:lang w:val="pl-PL"/>
        </w:rPr>
        <w:t>,</w:t>
      </w:r>
      <w:r w:rsidRPr="000A6916">
        <w:rPr>
          <w:rFonts w:ascii="Times New Roman" w:hAnsi="Times New Roman"/>
          <w:noProof/>
          <w:color w:val="FF0000"/>
          <w:sz w:val="24"/>
          <w:lang w:val="pl-PL"/>
        </w:rPr>
        <w:t xml:space="preserve"> </w:t>
      </w:r>
      <w:r w:rsidRPr="000A6916">
        <w:rPr>
          <w:rFonts w:ascii="Times New Roman" w:hAnsi="Times New Roman"/>
          <w:noProof/>
          <w:sz w:val="24"/>
          <w:lang w:val="pl-PL"/>
        </w:rPr>
        <w:t>co spowoduje dalsze zwiększenie synergii</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ust</w:t>
      </w:r>
      <w:r w:rsidRPr="000A6916">
        <w:rPr>
          <w:rFonts w:ascii="Times New Roman" w:hAnsi="Times New Roman"/>
          <w:noProof/>
          <w:sz w:val="24"/>
          <w:lang w:val="pl-PL"/>
        </w:rPr>
        <w:t>aleniami</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zak</w:t>
      </w:r>
      <w:r w:rsidRPr="000A6916">
        <w:rPr>
          <w:rFonts w:ascii="Times New Roman" w:hAnsi="Times New Roman"/>
          <w:noProof/>
          <w:sz w:val="24"/>
          <w:lang w:val="pl-PL"/>
        </w:rPr>
        <w:t>resie wzajemnego stwierdzenia</w:t>
      </w:r>
      <w:r w:rsidR="000A6916" w:rsidRPr="000A6916">
        <w:rPr>
          <w:rFonts w:ascii="Times New Roman" w:hAnsi="Times New Roman"/>
          <w:noProof/>
          <w:sz w:val="24"/>
          <w:lang w:val="pl-PL"/>
        </w:rPr>
        <w:t xml:space="preserve"> </w:t>
      </w:r>
      <w:r w:rsidRPr="000A6916">
        <w:rPr>
          <w:rFonts w:ascii="Times New Roman" w:hAnsi="Times New Roman"/>
          <w:noProof/>
          <w:sz w:val="24"/>
          <w:lang w:val="pl-PL"/>
        </w:rPr>
        <w:t>odpowiedniego stopnia ochrony danych. Na poziomie wielostronnym UE</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Jap</w:t>
      </w:r>
      <w:r w:rsidRPr="000A6916">
        <w:rPr>
          <w:rFonts w:ascii="Times New Roman" w:hAnsi="Times New Roman"/>
          <w:noProof/>
          <w:sz w:val="24"/>
          <w:lang w:val="pl-PL"/>
        </w:rPr>
        <w:t>onia podejmują wspólne działania na rzecz promowania, umocnienia</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sku</w:t>
      </w:r>
      <w:r w:rsidRPr="000A6916">
        <w:rPr>
          <w:rFonts w:ascii="Times New Roman" w:hAnsi="Times New Roman"/>
          <w:noProof/>
          <w:sz w:val="24"/>
          <w:lang w:val="pl-PL"/>
        </w:rPr>
        <w:t>tecznego stosowania koncepcji „swobodnego przepływu danych opartego na zaufaniu” (której realizację rozpoczął zmarły premier Shinzo Abe), obejmujące między innymi ścisłą współpracę na forum grupy G-7, Światowej Organizacji Handlu (w kontekście wspólnego oświadczenia</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spr</w:t>
      </w:r>
      <w:r w:rsidRPr="000A6916">
        <w:rPr>
          <w:rFonts w:ascii="Times New Roman" w:hAnsi="Times New Roman"/>
          <w:noProof/>
          <w:sz w:val="24"/>
          <w:lang w:val="pl-PL"/>
        </w:rPr>
        <w:t>awie handlu elektronicznego)</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Org</w:t>
      </w:r>
      <w:r w:rsidRPr="000A6916">
        <w:rPr>
          <w:rFonts w:ascii="Times New Roman" w:hAnsi="Times New Roman"/>
          <w:noProof/>
          <w:sz w:val="24"/>
          <w:lang w:val="pl-PL"/>
        </w:rPr>
        <w:t>anizacji Współpracy Gospodarczej</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Roz</w:t>
      </w:r>
      <w:r w:rsidRPr="000A6916">
        <w:rPr>
          <w:rFonts w:ascii="Times New Roman" w:hAnsi="Times New Roman"/>
          <w:noProof/>
          <w:sz w:val="24"/>
          <w:lang w:val="pl-PL"/>
        </w:rPr>
        <w:t>woju (OECD). Na szczeblu OECD intensywna współpraca między UE</w:t>
      </w:r>
      <w:r w:rsidR="000A6916" w:rsidRPr="000A6916">
        <w:rPr>
          <w:rFonts w:ascii="Times New Roman" w:hAnsi="Times New Roman"/>
          <w:noProof/>
          <w:sz w:val="24"/>
          <w:lang w:val="pl-PL"/>
        </w:rPr>
        <w:t xml:space="preserve"> a</w:t>
      </w:r>
      <w:r w:rsidR="000A6916">
        <w:rPr>
          <w:rFonts w:ascii="Times New Roman" w:hAnsi="Times New Roman"/>
          <w:noProof/>
          <w:sz w:val="24"/>
          <w:lang w:val="pl-PL"/>
        </w:rPr>
        <w:t> </w:t>
      </w:r>
      <w:r w:rsidR="000A6916" w:rsidRPr="000A6916">
        <w:rPr>
          <w:rFonts w:ascii="Times New Roman" w:hAnsi="Times New Roman"/>
          <w:noProof/>
          <w:sz w:val="24"/>
          <w:lang w:val="pl-PL"/>
        </w:rPr>
        <w:t>Jap</w:t>
      </w:r>
      <w:r w:rsidRPr="000A6916">
        <w:rPr>
          <w:rFonts w:ascii="Times New Roman" w:hAnsi="Times New Roman"/>
          <w:noProof/>
          <w:sz w:val="24"/>
          <w:lang w:val="pl-PL"/>
        </w:rPr>
        <w:t>onią</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tyc</w:t>
      </w:r>
      <w:r w:rsidRPr="000A6916">
        <w:rPr>
          <w:rFonts w:ascii="Times New Roman" w:hAnsi="Times New Roman"/>
          <w:noProof/>
          <w:sz w:val="24"/>
          <w:lang w:val="pl-PL"/>
        </w:rPr>
        <w:t>h kwestiach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szc</w:t>
      </w:r>
      <w:r w:rsidRPr="000A6916">
        <w:rPr>
          <w:rFonts w:ascii="Times New Roman" w:hAnsi="Times New Roman"/>
          <w:noProof/>
          <w:sz w:val="24"/>
          <w:lang w:val="pl-PL"/>
        </w:rPr>
        <w:t>zególności odegrała podstawową rolę</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yjęciu – po raz pierwszy</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his</w:t>
      </w:r>
      <w:r w:rsidRPr="000A6916">
        <w:rPr>
          <w:rFonts w:ascii="Times New Roman" w:hAnsi="Times New Roman"/>
          <w:noProof/>
          <w:sz w:val="24"/>
          <w:lang w:val="pl-PL"/>
        </w:rPr>
        <w:t>torii na szczeblu międzynarodowym – wspólnych zasad dotyczących dostępu rządowego do danych osobowych znajdujących się</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pos</w:t>
      </w:r>
      <w:r w:rsidRPr="000A6916">
        <w:rPr>
          <w:rFonts w:ascii="Times New Roman" w:hAnsi="Times New Roman"/>
          <w:noProof/>
          <w:sz w:val="24"/>
          <w:lang w:val="pl-PL"/>
        </w:rPr>
        <w:t>iadaniu sektora prywatnego</w:t>
      </w:r>
      <w:r w:rsidRPr="000A6916">
        <w:rPr>
          <w:rStyle w:val="FootnoteReference"/>
          <w:rFonts w:ascii="Times New Roman" w:hAnsi="Times New Roman" w:cs="Times New Roman"/>
          <w:noProof/>
          <w:sz w:val="24"/>
          <w:lang w:val="pl-PL"/>
        </w:rPr>
        <w:footnoteReference w:id="16"/>
      </w:r>
      <w:r w:rsidR="000A6916" w:rsidRPr="000A6916">
        <w:rPr>
          <w:rFonts w:ascii="Times New Roman" w:hAnsi="Times New Roman"/>
          <w:noProof/>
          <w:sz w:val="24"/>
          <w:lang w:val="pl-PL"/>
        </w:rPr>
        <w:t>. W</w:t>
      </w:r>
      <w:r w:rsidR="000A6916">
        <w:rPr>
          <w:rFonts w:ascii="Times New Roman" w:hAnsi="Times New Roman"/>
          <w:noProof/>
          <w:sz w:val="24"/>
          <w:lang w:val="pl-PL"/>
        </w:rPr>
        <w:t> </w:t>
      </w:r>
      <w:r w:rsidR="000A6916" w:rsidRPr="000A6916">
        <w:rPr>
          <w:rFonts w:ascii="Times New Roman" w:hAnsi="Times New Roman"/>
          <w:noProof/>
          <w:sz w:val="24"/>
          <w:lang w:val="pl-PL"/>
        </w:rPr>
        <w:t>ram</w:t>
      </w:r>
      <w:r w:rsidRPr="000A6916">
        <w:rPr>
          <w:rFonts w:ascii="Times New Roman" w:hAnsi="Times New Roman"/>
          <w:noProof/>
          <w:sz w:val="24"/>
          <w:lang w:val="pl-PL"/>
        </w:rPr>
        <w:t>ach wszystkich tych różnych prac</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mni</w:t>
      </w:r>
      <w:r w:rsidRPr="000A6916">
        <w:rPr>
          <w:rFonts w:ascii="Times New Roman" w:hAnsi="Times New Roman"/>
          <w:noProof/>
          <w:sz w:val="24"/>
          <w:lang w:val="pl-PL"/>
        </w:rPr>
        <w:t>ejszym lub większym stopniu kierowano się wspólnymi wartościami</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wym</w:t>
      </w:r>
      <w:r w:rsidRPr="000A6916">
        <w:rPr>
          <w:rFonts w:ascii="Times New Roman" w:hAnsi="Times New Roman"/>
          <w:noProof/>
          <w:sz w:val="24"/>
          <w:lang w:val="pl-PL"/>
        </w:rPr>
        <w:t>ogami leżącymi</w:t>
      </w:r>
      <w:r w:rsidR="000A6916" w:rsidRPr="000A6916">
        <w:rPr>
          <w:rFonts w:ascii="Times New Roman" w:hAnsi="Times New Roman"/>
          <w:noProof/>
          <w:sz w:val="24"/>
          <w:lang w:val="pl-PL"/>
        </w:rPr>
        <w:t xml:space="preserve"> u</w:t>
      </w:r>
      <w:r w:rsidR="000A6916">
        <w:rPr>
          <w:rFonts w:ascii="Times New Roman" w:hAnsi="Times New Roman"/>
          <w:noProof/>
          <w:sz w:val="24"/>
          <w:lang w:val="pl-PL"/>
        </w:rPr>
        <w:t> </w:t>
      </w:r>
      <w:r w:rsidR="000A6916" w:rsidRPr="000A6916">
        <w:rPr>
          <w:rFonts w:ascii="Times New Roman" w:hAnsi="Times New Roman"/>
          <w:noProof/>
          <w:sz w:val="24"/>
          <w:lang w:val="pl-PL"/>
        </w:rPr>
        <w:t>pod</w:t>
      </w:r>
      <w:r w:rsidRPr="000A6916">
        <w:rPr>
          <w:rFonts w:ascii="Times New Roman" w:hAnsi="Times New Roman"/>
          <w:noProof/>
          <w:sz w:val="24"/>
          <w:lang w:val="pl-PL"/>
        </w:rPr>
        <w:t>staw ustaleń UE</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Jap</w:t>
      </w:r>
      <w:r w:rsidRPr="000A6916">
        <w:rPr>
          <w:rFonts w:ascii="Times New Roman" w:hAnsi="Times New Roman"/>
          <w:noProof/>
          <w:sz w:val="24"/>
          <w:lang w:val="pl-PL"/>
        </w:rPr>
        <w:t>onii</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zak</w:t>
      </w:r>
      <w:r w:rsidRPr="000A6916">
        <w:rPr>
          <w:rFonts w:ascii="Times New Roman" w:hAnsi="Times New Roman"/>
          <w:noProof/>
          <w:sz w:val="24"/>
          <w:lang w:val="pl-PL"/>
        </w:rPr>
        <w:t>resie wzajemnego stwierdzenia</w:t>
      </w:r>
      <w:r w:rsidR="000A6916" w:rsidRPr="000A6916">
        <w:rPr>
          <w:rFonts w:ascii="Times New Roman" w:hAnsi="Times New Roman"/>
          <w:noProof/>
          <w:sz w:val="24"/>
          <w:lang w:val="pl-PL"/>
        </w:rPr>
        <w:t xml:space="preserve"> </w:t>
      </w:r>
      <w:r w:rsidRPr="000A6916">
        <w:rPr>
          <w:rFonts w:ascii="Times New Roman" w:hAnsi="Times New Roman"/>
          <w:noProof/>
          <w:sz w:val="24"/>
          <w:lang w:val="pl-PL"/>
        </w:rPr>
        <w:t xml:space="preserve">odpowiedniego stopnia ochrony danych. </w:t>
      </w:r>
    </w:p>
    <w:p w14:paraId="7B8241F0" w14:textId="072C4787" w:rsidR="00E55B38" w:rsidRPr="000A6916" w:rsidRDefault="00BC1349" w:rsidP="00314611">
      <w:pPr>
        <w:jc w:val="both"/>
        <w:rPr>
          <w:rFonts w:ascii="Times New Roman" w:hAnsi="Times New Roman" w:cs="Times New Roman"/>
          <w:noProof/>
          <w:sz w:val="24"/>
          <w:lang w:val="pl-PL"/>
        </w:rPr>
      </w:pPr>
      <w:r w:rsidRPr="000A6916">
        <w:rPr>
          <w:rFonts w:ascii="Times New Roman" w:hAnsi="Times New Roman"/>
          <w:noProof/>
          <w:sz w:val="24"/>
          <w:lang w:val="pl-PL"/>
        </w:rPr>
        <w:t>Aby regularnie sprawdzać, czy ustalenia zawarte</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dec</w:t>
      </w:r>
      <w:r w:rsidRPr="000A6916">
        <w:rPr>
          <w:rFonts w:ascii="Times New Roman" w:hAnsi="Times New Roman"/>
          <w:noProof/>
          <w:sz w:val="24"/>
          <w:lang w:val="pl-PL"/>
        </w:rPr>
        <w:t>yzji stwierdzającej odpowiedni stopień ochrony są nadal faktycznie</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pra</w:t>
      </w:r>
      <w:r w:rsidRPr="000A6916">
        <w:rPr>
          <w:rFonts w:ascii="Times New Roman" w:hAnsi="Times New Roman"/>
          <w:noProof/>
          <w:sz w:val="24"/>
          <w:lang w:val="pl-PL"/>
        </w:rPr>
        <w:t>wnie uzasadnione, Komisja jest zobowiązana do przeprowadzania okresowego przeglądu</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zgł</w:t>
      </w:r>
      <w:r w:rsidRPr="000A6916">
        <w:rPr>
          <w:rFonts w:ascii="Times New Roman" w:hAnsi="Times New Roman"/>
          <w:noProof/>
          <w:sz w:val="24"/>
          <w:lang w:val="pl-PL"/>
        </w:rPr>
        <w:t>aszania jego wyniku Parlamentowi Europejskiemu</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Rad</w:t>
      </w:r>
      <w:r w:rsidRPr="000A6916">
        <w:rPr>
          <w:rFonts w:ascii="Times New Roman" w:hAnsi="Times New Roman"/>
          <w:noProof/>
          <w:sz w:val="24"/>
          <w:lang w:val="pl-PL"/>
        </w:rPr>
        <w:t>zie</w:t>
      </w:r>
      <w:r w:rsidRPr="000A6916">
        <w:rPr>
          <w:rStyle w:val="FootnoteReference"/>
          <w:rFonts w:ascii="Times New Roman" w:hAnsi="Times New Roman" w:cs="Times New Roman"/>
          <w:noProof/>
          <w:sz w:val="24"/>
          <w:lang w:val="pl-PL"/>
        </w:rPr>
        <w:footnoteReference w:id="17"/>
      </w:r>
      <w:r w:rsidRPr="000A6916">
        <w:rPr>
          <w:rFonts w:ascii="Times New Roman" w:hAnsi="Times New Roman"/>
          <w:noProof/>
          <w:sz w:val="24"/>
          <w:lang w:val="pl-PL"/>
        </w:rPr>
        <w:t>. Niniejsze sprawozdanie,</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któ</w:t>
      </w:r>
      <w:r w:rsidRPr="000A6916">
        <w:rPr>
          <w:rFonts w:ascii="Times New Roman" w:hAnsi="Times New Roman"/>
          <w:noProof/>
          <w:sz w:val="24"/>
          <w:lang w:val="pl-PL"/>
        </w:rPr>
        <w:t>rym uwzględniono wszystkie aspekty funkcjonowania decyzji, stanowi podsumowanie pierwszego przeglądu okresowego. Po stronie japońskiej</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eglądzie tym udział wzięli przedstawiciele Komisji ds. Ochrony Informacji Osobowych, Ministerstwa Spraw Wewnętrznych</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Kom</w:t>
      </w:r>
      <w:r w:rsidRPr="000A6916">
        <w:rPr>
          <w:rFonts w:ascii="Times New Roman" w:hAnsi="Times New Roman"/>
          <w:noProof/>
          <w:sz w:val="24"/>
          <w:lang w:val="pl-PL"/>
        </w:rPr>
        <w:t>unikacji, Ministerstwa Sprawiedliwości, Ministerstwa Obrony</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Age</w:t>
      </w:r>
      <w:r w:rsidRPr="000A6916">
        <w:rPr>
          <w:rFonts w:ascii="Times New Roman" w:hAnsi="Times New Roman"/>
          <w:noProof/>
          <w:sz w:val="24"/>
          <w:lang w:val="pl-PL"/>
        </w:rPr>
        <w:t>ncji Policji Krajowej. Delegacja UE składała się</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trz</w:t>
      </w:r>
      <w:r w:rsidRPr="000A6916">
        <w:rPr>
          <w:rFonts w:ascii="Times New Roman" w:hAnsi="Times New Roman"/>
          <w:noProof/>
          <w:sz w:val="24"/>
          <w:lang w:val="pl-PL"/>
        </w:rPr>
        <w:t xml:space="preserve">ech przedstawicieli wyznaczonych przez EROD oraz członków Komisji Europejskiej. </w:t>
      </w:r>
    </w:p>
    <w:p w14:paraId="70DC2058" w14:textId="189FFE8F" w:rsidR="00A66C72" w:rsidRPr="000A6916" w:rsidRDefault="00603694" w:rsidP="00314611">
      <w:pPr>
        <w:jc w:val="both"/>
        <w:rPr>
          <w:rFonts w:ascii="Times New Roman" w:hAnsi="Times New Roman" w:cs="Times New Roman"/>
          <w:noProof/>
          <w:sz w:val="24"/>
          <w:lang w:val="pl-PL"/>
        </w:rPr>
      </w:pPr>
      <w:r w:rsidRPr="000A6916">
        <w:rPr>
          <w:rFonts w:ascii="Times New Roman" w:hAnsi="Times New Roman"/>
          <w:noProof/>
          <w:sz w:val="24"/>
          <w:lang w:val="pl-PL"/>
        </w:rPr>
        <w:t>26 października 2021</w:t>
      </w:r>
      <w:r w:rsidR="000A6916" w:rsidRPr="000A6916">
        <w:rPr>
          <w:rFonts w:ascii="Times New Roman" w:hAnsi="Times New Roman"/>
          <w:noProof/>
          <w:sz w:val="24"/>
          <w:lang w:val="pl-PL"/>
        </w:rPr>
        <w:t> </w:t>
      </w:r>
      <w:r w:rsidRPr="000A6916">
        <w:rPr>
          <w:rFonts w:ascii="Times New Roman" w:hAnsi="Times New Roman"/>
          <w:noProof/>
          <w:sz w:val="24"/>
          <w:lang w:val="pl-PL"/>
        </w:rPr>
        <w:t>r. odbyło się spotkanie przeglądowe</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udz</w:t>
      </w:r>
      <w:r w:rsidRPr="000A6916">
        <w:rPr>
          <w:rFonts w:ascii="Times New Roman" w:hAnsi="Times New Roman"/>
          <w:noProof/>
          <w:sz w:val="24"/>
          <w:lang w:val="pl-PL"/>
        </w:rPr>
        <w:t>iałem obu delegacji, przy czym zarówno przed tym spotkaniem, jak i po jego zakończeniu przeprowadzono szereg wymian informacji</w:t>
      </w:r>
      <w:r w:rsidR="000A6916" w:rsidRPr="000A6916">
        <w:rPr>
          <w:rFonts w:ascii="Times New Roman" w:hAnsi="Times New Roman"/>
          <w:noProof/>
          <w:sz w:val="24"/>
          <w:lang w:val="pl-PL"/>
        </w:rPr>
        <w:t>. W</w:t>
      </w:r>
      <w:r w:rsidR="000A6916">
        <w:rPr>
          <w:rFonts w:ascii="Times New Roman" w:hAnsi="Times New Roman"/>
          <w:noProof/>
          <w:sz w:val="24"/>
          <w:lang w:val="pl-PL"/>
        </w:rPr>
        <w:t> </w:t>
      </w:r>
      <w:r w:rsidR="000A6916" w:rsidRPr="000A6916">
        <w:rPr>
          <w:rFonts w:ascii="Times New Roman" w:hAnsi="Times New Roman"/>
          <w:noProof/>
          <w:sz w:val="24"/>
          <w:lang w:val="pl-PL"/>
        </w:rPr>
        <w:t>szc</w:t>
      </w:r>
      <w:r w:rsidRPr="000A6916">
        <w:rPr>
          <w:rFonts w:ascii="Times New Roman" w:hAnsi="Times New Roman"/>
          <w:noProof/>
          <w:sz w:val="24"/>
          <w:lang w:val="pl-PL"/>
        </w:rPr>
        <w:t>zególności</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cel</w:t>
      </w:r>
      <w:r w:rsidRPr="000A6916">
        <w:rPr>
          <w:rFonts w:ascii="Times New Roman" w:hAnsi="Times New Roman"/>
          <w:noProof/>
          <w:sz w:val="24"/>
          <w:lang w:val="pl-PL"/>
        </w:rPr>
        <w:t>u przygotowania przeglądu Komisja zgromadziła informacje pochodzące od japońskich władz na temat funkcjonowania decyzji,</w:t>
      </w:r>
      <w:r w:rsidR="000A6916" w:rsidRPr="000A6916">
        <w:rPr>
          <w:rFonts w:ascii="Times New Roman" w:hAnsi="Times New Roman"/>
          <w:noProof/>
          <w:sz w:val="24"/>
          <w:lang w:val="pl-PL"/>
        </w:rPr>
        <w:t xml:space="preserve"> a</w:t>
      </w:r>
      <w:r w:rsidR="000A6916">
        <w:rPr>
          <w:rFonts w:ascii="Times New Roman" w:hAnsi="Times New Roman"/>
          <w:noProof/>
          <w:sz w:val="24"/>
          <w:lang w:val="pl-PL"/>
        </w:rPr>
        <w:t> </w:t>
      </w:r>
      <w:r w:rsidR="000A6916" w:rsidRPr="000A6916">
        <w:rPr>
          <w:rFonts w:ascii="Times New Roman" w:hAnsi="Times New Roman"/>
          <w:noProof/>
          <w:sz w:val="24"/>
          <w:lang w:val="pl-PL"/>
        </w:rPr>
        <w:t>zwł</w:t>
      </w:r>
      <w:r w:rsidRPr="000A6916">
        <w:rPr>
          <w:rFonts w:ascii="Times New Roman" w:hAnsi="Times New Roman"/>
          <w:noProof/>
          <w:sz w:val="24"/>
          <w:lang w:val="pl-PL"/>
        </w:rPr>
        <w:t>aszcza wdrożenia przepisów uzupełniających. Komisja gromadziła również pochodzące ze źródeł publicznych i od lokalnych ekspertów informacje na temat funkcjonowania decyzji</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ist</w:t>
      </w:r>
      <w:r w:rsidRPr="000A6916">
        <w:rPr>
          <w:rFonts w:ascii="Times New Roman" w:hAnsi="Times New Roman"/>
          <w:noProof/>
          <w:sz w:val="24"/>
          <w:lang w:val="pl-PL"/>
        </w:rPr>
        <w:t>otnych zmian</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jap</w:t>
      </w:r>
      <w:r w:rsidRPr="000A6916">
        <w:rPr>
          <w:rFonts w:ascii="Times New Roman" w:hAnsi="Times New Roman"/>
          <w:noProof/>
          <w:sz w:val="24"/>
          <w:lang w:val="pl-PL"/>
        </w:rPr>
        <w:t>ońskich przepisach</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pra</w:t>
      </w:r>
      <w:r w:rsidRPr="000A6916">
        <w:rPr>
          <w:rFonts w:ascii="Times New Roman" w:hAnsi="Times New Roman"/>
          <w:noProof/>
          <w:sz w:val="24"/>
          <w:lang w:val="pl-PL"/>
        </w:rPr>
        <w:t>ktykach, zarówno jeżeli chodzi</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episy</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danych mające zastosowanie do podmiotów prywatnych, jak</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w</w:t>
      </w:r>
      <w:r w:rsidR="000A6916">
        <w:rPr>
          <w:rFonts w:ascii="Times New Roman" w:hAnsi="Times New Roman"/>
          <w:noProof/>
          <w:sz w:val="24"/>
          <w:lang w:val="pl-PL"/>
        </w:rPr>
        <w:t> </w:t>
      </w:r>
      <w:r w:rsidR="000A6916" w:rsidRPr="000A6916">
        <w:rPr>
          <w:rFonts w:ascii="Times New Roman" w:hAnsi="Times New Roman"/>
          <w:noProof/>
          <w:sz w:val="24"/>
          <w:lang w:val="pl-PL"/>
        </w:rPr>
        <w:t>zak</w:t>
      </w:r>
      <w:r w:rsidRPr="000A6916">
        <w:rPr>
          <w:rFonts w:ascii="Times New Roman" w:hAnsi="Times New Roman"/>
          <w:noProof/>
          <w:sz w:val="24"/>
          <w:lang w:val="pl-PL"/>
        </w:rPr>
        <w:t>resie dostępu rządowego. Po spotkaniu przeglądowym Komisja</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Kom</w:t>
      </w:r>
      <w:r w:rsidRPr="000A6916">
        <w:rPr>
          <w:rFonts w:ascii="Times New Roman" w:hAnsi="Times New Roman"/>
          <w:noProof/>
          <w:sz w:val="24"/>
          <w:lang w:val="pl-PL"/>
        </w:rPr>
        <w:t>isja ds. Ochrony Informacji Osobowych odbyły szereg wymian informacji</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myś</w:t>
      </w:r>
      <w:r w:rsidRPr="000A6916">
        <w:rPr>
          <w:rFonts w:ascii="Times New Roman" w:hAnsi="Times New Roman"/>
          <w:noProof/>
          <w:sz w:val="24"/>
          <w:lang w:val="pl-PL"/>
        </w:rPr>
        <w:t>lą</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dzi</w:t>
      </w:r>
      <w:r w:rsidRPr="000A6916">
        <w:rPr>
          <w:rFonts w:ascii="Times New Roman" w:hAnsi="Times New Roman"/>
          <w:noProof/>
          <w:sz w:val="24"/>
          <w:lang w:val="pl-PL"/>
        </w:rPr>
        <w:t>ałaniach następczych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zwi</w:t>
      </w:r>
      <w:r w:rsidRPr="000A6916">
        <w:rPr>
          <w:rFonts w:ascii="Times New Roman" w:hAnsi="Times New Roman"/>
          <w:noProof/>
          <w:sz w:val="24"/>
          <w:lang w:val="pl-PL"/>
        </w:rPr>
        <w:t>ązku</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kwe</w:t>
      </w:r>
      <w:r w:rsidRPr="000A6916">
        <w:rPr>
          <w:rFonts w:ascii="Times New Roman" w:hAnsi="Times New Roman"/>
          <w:noProof/>
          <w:sz w:val="24"/>
          <w:lang w:val="pl-PL"/>
        </w:rPr>
        <w:t>stiami omówionymi na takim spotkaniu,</w:t>
      </w:r>
      <w:r w:rsidR="000A6916" w:rsidRPr="000A6916">
        <w:rPr>
          <w:rFonts w:ascii="Times New Roman" w:hAnsi="Times New Roman"/>
          <w:noProof/>
          <w:sz w:val="24"/>
          <w:lang w:val="pl-PL"/>
        </w:rPr>
        <w:t xml:space="preserve"> a</w:t>
      </w:r>
      <w:r w:rsidR="000A6916">
        <w:rPr>
          <w:rFonts w:ascii="Times New Roman" w:hAnsi="Times New Roman"/>
          <w:noProof/>
          <w:sz w:val="24"/>
          <w:lang w:val="pl-PL"/>
        </w:rPr>
        <w:t> </w:t>
      </w:r>
      <w:r w:rsidR="000A6916" w:rsidRPr="000A6916">
        <w:rPr>
          <w:rFonts w:ascii="Times New Roman" w:hAnsi="Times New Roman"/>
          <w:noProof/>
          <w:sz w:val="24"/>
          <w:lang w:val="pl-PL"/>
        </w:rPr>
        <w:t>w</w:t>
      </w:r>
      <w:r w:rsidR="000A6916">
        <w:rPr>
          <w:rFonts w:ascii="Times New Roman" w:hAnsi="Times New Roman"/>
          <w:noProof/>
          <w:sz w:val="24"/>
          <w:lang w:val="pl-PL"/>
        </w:rPr>
        <w:t> </w:t>
      </w:r>
      <w:r w:rsidR="000A6916" w:rsidRPr="000A6916">
        <w:rPr>
          <w:rFonts w:ascii="Times New Roman" w:hAnsi="Times New Roman"/>
          <w:noProof/>
          <w:sz w:val="24"/>
          <w:lang w:val="pl-PL"/>
        </w:rPr>
        <w:t>szc</w:t>
      </w:r>
      <w:r w:rsidRPr="000A6916">
        <w:rPr>
          <w:rFonts w:ascii="Times New Roman" w:hAnsi="Times New Roman"/>
          <w:noProof/>
          <w:sz w:val="24"/>
          <w:lang w:val="pl-PL"/>
        </w:rPr>
        <w:t>zególności</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cel</w:t>
      </w:r>
      <w:r w:rsidRPr="000A6916">
        <w:rPr>
          <w:rFonts w:ascii="Times New Roman" w:hAnsi="Times New Roman"/>
          <w:noProof/>
          <w:sz w:val="24"/>
          <w:lang w:val="pl-PL"/>
        </w:rPr>
        <w:t>u rozwiązania kwestii, które pojawiły się</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wyn</w:t>
      </w:r>
      <w:r w:rsidRPr="000A6916">
        <w:rPr>
          <w:rFonts w:ascii="Times New Roman" w:hAnsi="Times New Roman"/>
          <w:noProof/>
          <w:sz w:val="24"/>
          <w:lang w:val="pl-PL"/>
        </w:rPr>
        <w:t>iku uwzględnienia</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ust</w:t>
      </w:r>
      <w:r w:rsidRPr="000A6916">
        <w:rPr>
          <w:rFonts w:ascii="Times New Roman" w:hAnsi="Times New Roman"/>
          <w:noProof/>
          <w:sz w:val="24"/>
          <w:lang w:val="pl-PL"/>
        </w:rPr>
        <w:t>awie</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 przepisów dotyczących pseudonimicznych informacji osobowych.</w:t>
      </w:r>
    </w:p>
    <w:p w14:paraId="0E1B0E2F" w14:textId="6CB7EE26" w:rsidR="00A66C72" w:rsidRPr="000A6916" w:rsidRDefault="001848D9" w:rsidP="00A66C72">
      <w:pPr>
        <w:pStyle w:val="ListParagraph"/>
        <w:numPr>
          <w:ilvl w:val="0"/>
          <w:numId w:val="1"/>
        </w:numPr>
        <w:rPr>
          <w:rFonts w:ascii="Times New Roman" w:hAnsi="Times New Roman" w:cs="Times New Roman"/>
          <w:b/>
          <w:noProof/>
          <w:sz w:val="24"/>
          <w:lang w:val="pl-PL"/>
        </w:rPr>
      </w:pPr>
      <w:r w:rsidRPr="000A6916">
        <w:rPr>
          <w:rFonts w:ascii="Times New Roman" w:hAnsi="Times New Roman"/>
          <w:b/>
          <w:noProof/>
          <w:sz w:val="24"/>
          <w:lang w:val="pl-PL"/>
        </w:rPr>
        <w:t>NAJWAŻNIEJSZE USTALENIA</w:t>
      </w:r>
    </w:p>
    <w:p w14:paraId="08D2B076" w14:textId="68EAAD7F" w:rsidR="00F01C5D" w:rsidRPr="000A6916" w:rsidRDefault="00F01C5D" w:rsidP="007E411C">
      <w:pPr>
        <w:jc w:val="both"/>
        <w:rPr>
          <w:rFonts w:ascii="Times New Roman" w:hAnsi="Times New Roman" w:cs="Times New Roman"/>
          <w:noProof/>
          <w:sz w:val="24"/>
          <w:lang w:val="pl-PL"/>
        </w:rPr>
      </w:pPr>
      <w:r w:rsidRPr="000A6916">
        <w:rPr>
          <w:rFonts w:ascii="Times New Roman" w:hAnsi="Times New Roman"/>
          <w:noProof/>
          <w:sz w:val="24"/>
          <w:lang w:val="pl-PL"/>
        </w:rPr>
        <w:t>Szczegółowe ustalenia dotyczące funkcjonowania wszystkich aspektów decyzji stwierdzającej odpowiedni stopień ochrony przedstawiono</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dok</w:t>
      </w:r>
      <w:r w:rsidRPr="000A6916">
        <w:rPr>
          <w:rFonts w:ascii="Times New Roman" w:hAnsi="Times New Roman"/>
          <w:noProof/>
          <w:sz w:val="24"/>
          <w:lang w:val="pl-PL"/>
        </w:rPr>
        <w:t>umencie roboczym służb Komisji (SWD(2023) 75) załączonym do niniejszego sprawozdania.</w:t>
      </w:r>
    </w:p>
    <w:p w14:paraId="263FF580" w14:textId="68577DC6" w:rsidR="00B37707" w:rsidRPr="000A6916" w:rsidRDefault="007E411C" w:rsidP="00B37707">
      <w:pPr>
        <w:jc w:val="both"/>
        <w:rPr>
          <w:rFonts w:ascii="Times New Roman" w:hAnsi="Times New Roman" w:cs="Times New Roman"/>
          <w:noProof/>
          <w:sz w:val="24"/>
          <w:lang w:val="pl-PL"/>
        </w:rPr>
      </w:pPr>
      <w:r w:rsidRPr="000A6916">
        <w:rPr>
          <w:rFonts w:ascii="Times New Roman" w:hAnsi="Times New Roman"/>
          <w:noProof/>
          <w:sz w:val="24"/>
          <w:lang w:val="pl-PL"/>
        </w:rPr>
        <w:t>W wyniku pierwszego przeglądu wykazano</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szc</w:t>
      </w:r>
      <w:r w:rsidRPr="000A6916">
        <w:rPr>
          <w:rFonts w:ascii="Times New Roman" w:hAnsi="Times New Roman"/>
          <w:noProof/>
          <w:sz w:val="24"/>
          <w:lang w:val="pl-PL"/>
        </w:rPr>
        <w:t>zególności, że od czasu przyjęcia wzajemnych decyzji stwierdzających odpowiedni stopień ochrony nastąpiło dalsze ujednolicenie unijnych</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jap</w:t>
      </w:r>
      <w:r w:rsidRPr="000A6916">
        <w:rPr>
          <w:rFonts w:ascii="Times New Roman" w:hAnsi="Times New Roman"/>
          <w:noProof/>
          <w:sz w:val="24"/>
          <w:lang w:val="pl-PL"/>
        </w:rPr>
        <w:t>ońskich ram ochrony danych. Ustawę</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 zmieniono dwukrotnie: 5 czerwca 2020</w:t>
      </w:r>
      <w:r w:rsidR="000A6916" w:rsidRPr="000A6916">
        <w:rPr>
          <w:rFonts w:ascii="Times New Roman" w:hAnsi="Times New Roman"/>
          <w:noProof/>
          <w:sz w:val="24"/>
          <w:lang w:val="pl-PL"/>
        </w:rPr>
        <w:t> </w:t>
      </w:r>
      <w:r w:rsidRPr="000A6916">
        <w:rPr>
          <w:rFonts w:ascii="Times New Roman" w:hAnsi="Times New Roman"/>
          <w:noProof/>
          <w:sz w:val="24"/>
          <w:lang w:val="pl-PL"/>
        </w:rPr>
        <w:t>r.</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dro</w:t>
      </w:r>
      <w:r w:rsidRPr="000A6916">
        <w:rPr>
          <w:rFonts w:ascii="Times New Roman" w:hAnsi="Times New Roman"/>
          <w:noProof/>
          <w:sz w:val="24"/>
          <w:lang w:val="pl-PL"/>
        </w:rPr>
        <w:t>dze ustawy</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2</w:t>
      </w:r>
      <w:r w:rsidRPr="000A6916">
        <w:rPr>
          <w:rFonts w:ascii="Times New Roman" w:hAnsi="Times New Roman"/>
          <w:noProof/>
          <w:sz w:val="24"/>
          <w:lang w:val="pl-PL"/>
        </w:rPr>
        <w:t>020</w:t>
      </w:r>
      <w:r w:rsidR="000A6916" w:rsidRPr="000A6916">
        <w:rPr>
          <w:rFonts w:ascii="Times New Roman" w:hAnsi="Times New Roman"/>
          <w:noProof/>
          <w:sz w:val="24"/>
          <w:lang w:val="pl-PL"/>
        </w:rPr>
        <w:t> </w:t>
      </w:r>
      <w:r w:rsidRPr="000A6916">
        <w:rPr>
          <w:rFonts w:ascii="Times New Roman" w:hAnsi="Times New Roman"/>
          <w:noProof/>
          <w:sz w:val="24"/>
          <w:lang w:val="pl-PL"/>
        </w:rPr>
        <w:t>r. zmieniającej ustawę</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 (zmiana ustawy</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2</w:t>
      </w:r>
      <w:r w:rsidRPr="000A6916">
        <w:rPr>
          <w:rFonts w:ascii="Times New Roman" w:hAnsi="Times New Roman"/>
          <w:noProof/>
          <w:sz w:val="24"/>
          <w:lang w:val="pl-PL"/>
        </w:rPr>
        <w:t>020</w:t>
      </w:r>
      <w:r w:rsidR="000A6916" w:rsidRPr="000A6916">
        <w:rPr>
          <w:rFonts w:ascii="Times New Roman" w:hAnsi="Times New Roman"/>
          <w:noProof/>
          <w:sz w:val="24"/>
          <w:lang w:val="pl-PL"/>
        </w:rPr>
        <w:t> </w:t>
      </w:r>
      <w:r w:rsidRPr="000A6916">
        <w:rPr>
          <w:rFonts w:ascii="Times New Roman" w:hAnsi="Times New Roman"/>
          <w:noProof/>
          <w:sz w:val="24"/>
          <w:lang w:val="pl-PL"/>
        </w:rPr>
        <w:t>r.), która weszła</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życ</w:t>
      </w:r>
      <w:r w:rsidRPr="000A6916">
        <w:rPr>
          <w:rFonts w:ascii="Times New Roman" w:hAnsi="Times New Roman"/>
          <w:noProof/>
          <w:sz w:val="24"/>
          <w:lang w:val="pl-PL"/>
        </w:rPr>
        <w:t>ie 1 kwietnia 2022</w:t>
      </w:r>
      <w:r w:rsidR="000A6916" w:rsidRPr="000A6916">
        <w:rPr>
          <w:rFonts w:ascii="Times New Roman" w:hAnsi="Times New Roman"/>
          <w:noProof/>
          <w:sz w:val="24"/>
          <w:lang w:val="pl-PL"/>
        </w:rPr>
        <w:t> </w:t>
      </w:r>
      <w:r w:rsidRPr="000A6916">
        <w:rPr>
          <w:rFonts w:ascii="Times New Roman" w:hAnsi="Times New Roman"/>
          <w:noProof/>
          <w:sz w:val="24"/>
          <w:lang w:val="pl-PL"/>
        </w:rPr>
        <w:t>r.</w:t>
      </w:r>
      <w:r w:rsidRPr="000A6916">
        <w:rPr>
          <w:rStyle w:val="FootnoteReference"/>
          <w:rFonts w:ascii="Times New Roman" w:hAnsi="Times New Roman" w:cs="Times New Roman"/>
          <w:noProof/>
          <w:sz w:val="24"/>
          <w:lang w:val="pl-PL"/>
        </w:rPr>
        <w:footnoteReference w:id="18"/>
      </w:r>
      <w:r w:rsidRPr="000A6916">
        <w:rPr>
          <w:rFonts w:ascii="Times New Roman" w:hAnsi="Times New Roman"/>
          <w:noProof/>
          <w:sz w:val="24"/>
          <w:lang w:val="pl-PL"/>
        </w:rPr>
        <w:t>; oraz 12 maja 2021</w:t>
      </w:r>
      <w:r w:rsidR="000A6916" w:rsidRPr="000A6916">
        <w:rPr>
          <w:rFonts w:ascii="Times New Roman" w:hAnsi="Times New Roman"/>
          <w:noProof/>
          <w:sz w:val="24"/>
          <w:lang w:val="pl-PL"/>
        </w:rPr>
        <w:t> </w:t>
      </w:r>
      <w:r w:rsidRPr="000A6916">
        <w:rPr>
          <w:rFonts w:ascii="Times New Roman" w:hAnsi="Times New Roman"/>
          <w:noProof/>
          <w:sz w:val="24"/>
          <w:lang w:val="pl-PL"/>
        </w:rPr>
        <w:t>r.</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dro</w:t>
      </w:r>
      <w:r w:rsidRPr="000A6916">
        <w:rPr>
          <w:rFonts w:ascii="Times New Roman" w:hAnsi="Times New Roman"/>
          <w:noProof/>
          <w:sz w:val="24"/>
          <w:lang w:val="pl-PL"/>
        </w:rPr>
        <w:t>dze ustawy</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dos</w:t>
      </w:r>
      <w:r w:rsidRPr="000A6916">
        <w:rPr>
          <w:rFonts w:ascii="Times New Roman" w:hAnsi="Times New Roman"/>
          <w:noProof/>
          <w:sz w:val="24"/>
          <w:lang w:val="pl-PL"/>
        </w:rPr>
        <w:t>tosowaniu powiązanych ustaw na potrzeby stworzenia społeczeństwa cyfrowego (zmiana ustawy</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2</w:t>
      </w:r>
      <w:r w:rsidRPr="000A6916">
        <w:rPr>
          <w:rFonts w:ascii="Times New Roman" w:hAnsi="Times New Roman"/>
          <w:noProof/>
          <w:sz w:val="24"/>
          <w:lang w:val="pl-PL"/>
        </w:rPr>
        <w:t>021</w:t>
      </w:r>
      <w:r w:rsidR="000A6916" w:rsidRPr="000A6916">
        <w:rPr>
          <w:rFonts w:ascii="Times New Roman" w:hAnsi="Times New Roman"/>
          <w:noProof/>
          <w:sz w:val="24"/>
          <w:lang w:val="pl-PL"/>
        </w:rPr>
        <w:t> </w:t>
      </w:r>
      <w:r w:rsidRPr="000A6916">
        <w:rPr>
          <w:rFonts w:ascii="Times New Roman" w:hAnsi="Times New Roman"/>
          <w:noProof/>
          <w:sz w:val="24"/>
          <w:lang w:val="pl-PL"/>
        </w:rPr>
        <w:t>r.)</w:t>
      </w:r>
      <w:r w:rsidRPr="000A6916">
        <w:rPr>
          <w:rStyle w:val="FootnoteReference"/>
          <w:rFonts w:ascii="Times New Roman" w:hAnsi="Times New Roman" w:cs="Times New Roman"/>
          <w:noProof/>
          <w:sz w:val="24"/>
          <w:lang w:val="pl-PL"/>
        </w:rPr>
        <w:footnoteReference w:id="19"/>
      </w:r>
      <w:r w:rsidR="000A6916" w:rsidRPr="000A6916">
        <w:rPr>
          <w:rFonts w:ascii="Times New Roman" w:hAnsi="Times New Roman"/>
          <w:noProof/>
          <w:sz w:val="24"/>
          <w:lang w:val="pl-PL"/>
        </w:rPr>
        <w:t>. W</w:t>
      </w:r>
      <w:r w:rsidR="000A6916">
        <w:rPr>
          <w:rFonts w:ascii="Times New Roman" w:hAnsi="Times New Roman"/>
          <w:noProof/>
          <w:sz w:val="24"/>
          <w:lang w:val="pl-PL"/>
        </w:rPr>
        <w:t> </w:t>
      </w:r>
      <w:r w:rsidR="000A6916" w:rsidRPr="000A6916">
        <w:rPr>
          <w:rFonts w:ascii="Times New Roman" w:hAnsi="Times New Roman"/>
          <w:noProof/>
          <w:sz w:val="24"/>
          <w:lang w:val="pl-PL"/>
        </w:rPr>
        <w:t>por</w:t>
      </w:r>
      <w:r w:rsidRPr="000A6916">
        <w:rPr>
          <w:rFonts w:ascii="Times New Roman" w:hAnsi="Times New Roman"/>
          <w:noProof/>
          <w:sz w:val="24"/>
          <w:lang w:val="pl-PL"/>
        </w:rPr>
        <w:t>ozumieniu</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Kom</w:t>
      </w:r>
      <w:r w:rsidRPr="000A6916">
        <w:rPr>
          <w:rFonts w:ascii="Times New Roman" w:hAnsi="Times New Roman"/>
          <w:noProof/>
          <w:sz w:val="24"/>
          <w:lang w:val="pl-PL"/>
        </w:rPr>
        <w:t>isją przepisy uzupełniające dostosowano</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cel</w:t>
      </w:r>
      <w:r w:rsidRPr="000A6916">
        <w:rPr>
          <w:rFonts w:ascii="Times New Roman" w:hAnsi="Times New Roman"/>
          <w:noProof/>
          <w:sz w:val="24"/>
          <w:lang w:val="pl-PL"/>
        </w:rPr>
        <w:t>u odzwierciedlenia tych zmian.</w:t>
      </w:r>
    </w:p>
    <w:p w14:paraId="654BE334" w14:textId="698BBFFC" w:rsidR="001B0AE9" w:rsidRPr="000A6916" w:rsidRDefault="00B37707" w:rsidP="00B37707">
      <w:pPr>
        <w:jc w:val="both"/>
        <w:rPr>
          <w:rFonts w:ascii="Times New Roman" w:hAnsi="Times New Roman" w:cs="Times New Roman"/>
          <w:noProof/>
          <w:sz w:val="24"/>
          <w:lang w:val="pl-PL"/>
        </w:rPr>
      </w:pPr>
      <w:r w:rsidRPr="000A6916">
        <w:rPr>
          <w:rFonts w:ascii="Times New Roman" w:hAnsi="Times New Roman"/>
          <w:noProof/>
          <w:sz w:val="24"/>
          <w:lang w:val="pl-PL"/>
        </w:rPr>
        <w:t>Zmiany te skutkowały dalszym zbliżeniem systemów UE</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Jap</w:t>
      </w:r>
      <w:r w:rsidRPr="000A6916">
        <w:rPr>
          <w:rFonts w:ascii="Times New Roman" w:hAnsi="Times New Roman"/>
          <w:noProof/>
          <w:sz w:val="24"/>
          <w:lang w:val="pl-PL"/>
        </w:rPr>
        <w:t>onii, zwłaszcza dzięki zaostrzeniu obowiązków</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zak</w:t>
      </w:r>
      <w:r w:rsidRPr="000A6916">
        <w:rPr>
          <w:rFonts w:ascii="Times New Roman" w:hAnsi="Times New Roman"/>
          <w:noProof/>
          <w:sz w:val="24"/>
          <w:lang w:val="pl-PL"/>
        </w:rPr>
        <w:t>resie bezpieczeństwa danych (przez wprowadzenie obowiązku powiadamiania</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ypadkach naruszenia ochrony danych), umocnieniu praw osób, których dane dotyczą (w szczególności prawa dostępu</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pra</w:t>
      </w:r>
      <w:r w:rsidRPr="000A6916">
        <w:rPr>
          <w:rFonts w:ascii="Times New Roman" w:hAnsi="Times New Roman"/>
          <w:noProof/>
          <w:sz w:val="24"/>
          <w:lang w:val="pl-PL"/>
        </w:rPr>
        <w:t>wa do sprzeciwu) oraz zwiększeniu zabezpieczeń przysługujących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ypadku przekazywania danych (za sprawą dodatkowych wymogów</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zak</w:t>
      </w:r>
      <w:r w:rsidRPr="000A6916">
        <w:rPr>
          <w:rFonts w:ascii="Times New Roman" w:hAnsi="Times New Roman"/>
          <w:noProof/>
          <w:sz w:val="24"/>
          <w:lang w:val="pl-PL"/>
        </w:rPr>
        <w:t>resie informowania</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mon</w:t>
      </w:r>
      <w:r w:rsidRPr="000A6916">
        <w:rPr>
          <w:rFonts w:ascii="Times New Roman" w:hAnsi="Times New Roman"/>
          <w:noProof/>
          <w:sz w:val="24"/>
          <w:lang w:val="pl-PL"/>
        </w:rPr>
        <w:t>itorowania,</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tym</w:t>
      </w:r>
      <w:r w:rsidRPr="000A6916">
        <w:rPr>
          <w:rFonts w:ascii="Times New Roman" w:hAnsi="Times New Roman"/>
          <w:noProof/>
          <w:sz w:val="24"/>
          <w:lang w:val="pl-PL"/>
        </w:rPr>
        <w:t xml:space="preserve"> informowania</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moż</w:t>
      </w:r>
      <w:r w:rsidRPr="000A6916">
        <w:rPr>
          <w:rFonts w:ascii="Times New Roman" w:hAnsi="Times New Roman"/>
          <w:noProof/>
          <w:sz w:val="24"/>
          <w:lang w:val="pl-PL"/>
        </w:rPr>
        <w:t>liwym ryzyku związanym</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dos</w:t>
      </w:r>
      <w:r w:rsidRPr="000A6916">
        <w:rPr>
          <w:rFonts w:ascii="Times New Roman" w:hAnsi="Times New Roman"/>
          <w:noProof/>
          <w:sz w:val="24"/>
          <w:lang w:val="pl-PL"/>
        </w:rPr>
        <w:t>tępem rządowym</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kra</w:t>
      </w:r>
      <w:r w:rsidRPr="000A6916">
        <w:rPr>
          <w:rFonts w:ascii="Times New Roman" w:hAnsi="Times New Roman"/>
          <w:noProof/>
          <w:sz w:val="24"/>
          <w:lang w:val="pl-PL"/>
        </w:rPr>
        <w:t>ju przeznaczenia)</w:t>
      </w:r>
      <w:r w:rsidR="000A6916" w:rsidRPr="000A6916">
        <w:rPr>
          <w:rFonts w:ascii="Times New Roman" w:hAnsi="Times New Roman"/>
          <w:noProof/>
          <w:sz w:val="24"/>
          <w:lang w:val="pl-PL"/>
        </w:rPr>
        <w:t>. W</w:t>
      </w:r>
      <w:r w:rsidR="000A6916">
        <w:rPr>
          <w:rFonts w:ascii="Times New Roman" w:hAnsi="Times New Roman"/>
          <w:noProof/>
          <w:sz w:val="24"/>
          <w:lang w:val="pl-PL"/>
        </w:rPr>
        <w:t> </w:t>
      </w:r>
      <w:r w:rsidR="000A6916" w:rsidRPr="000A6916">
        <w:rPr>
          <w:rFonts w:ascii="Times New Roman" w:hAnsi="Times New Roman"/>
          <w:noProof/>
          <w:sz w:val="24"/>
          <w:lang w:val="pl-PL"/>
        </w:rPr>
        <w:t>tym</w:t>
      </w:r>
      <w:r w:rsidRPr="000A6916">
        <w:rPr>
          <w:rFonts w:ascii="Times New Roman" w:hAnsi="Times New Roman"/>
          <w:noProof/>
          <w:sz w:val="24"/>
          <w:lang w:val="pl-PL"/>
        </w:rPr>
        <w:t xml:space="preserve"> kontekście szczególnie warto podkreślić, że niektóre dodatkowe zabezpieczenia przewidziane</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episach uzupełniających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zak</w:t>
      </w:r>
      <w:r w:rsidRPr="000A6916">
        <w:rPr>
          <w:rFonts w:ascii="Times New Roman" w:hAnsi="Times New Roman"/>
          <w:noProof/>
          <w:sz w:val="24"/>
          <w:lang w:val="pl-PL"/>
        </w:rPr>
        <w:t>resie danych osobowych pochodzących z UE, tj. zabezpieczenia dotyczące zatrzymywania danych</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war</w:t>
      </w:r>
      <w:r w:rsidRPr="000A6916">
        <w:rPr>
          <w:rFonts w:ascii="Times New Roman" w:hAnsi="Times New Roman"/>
          <w:noProof/>
          <w:sz w:val="24"/>
          <w:lang w:val="pl-PL"/>
        </w:rPr>
        <w:t>unki udzielania świadomej zgody na transgraniczne przekazywanie danych, wprowadzono</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ust</w:t>
      </w:r>
      <w:r w:rsidRPr="000A6916">
        <w:rPr>
          <w:rFonts w:ascii="Times New Roman" w:hAnsi="Times New Roman"/>
          <w:noProof/>
          <w:sz w:val="24"/>
          <w:lang w:val="pl-PL"/>
        </w:rPr>
        <w:t>awie</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 dzięki czemu mają one ogólne zastosowanie do wszystkich danych osobowych niezależnie od miejsca ich pochodzenia lub chwili gromadzenia</w:t>
      </w:r>
      <w:r w:rsidRPr="000A6916">
        <w:rPr>
          <w:rStyle w:val="FootnoteReference"/>
          <w:rFonts w:ascii="Times New Roman" w:hAnsi="Times New Roman" w:cs="Times New Roman"/>
          <w:noProof/>
          <w:sz w:val="24"/>
          <w:lang w:val="pl-PL"/>
        </w:rPr>
        <w:footnoteReference w:id="20"/>
      </w:r>
      <w:r w:rsidRPr="000A6916">
        <w:rPr>
          <w:rFonts w:ascii="Times New Roman" w:hAnsi="Times New Roman"/>
          <w:noProof/>
          <w:sz w:val="24"/>
          <w:lang w:val="pl-PL"/>
        </w:rPr>
        <w:t xml:space="preserve">. </w:t>
      </w:r>
    </w:p>
    <w:p w14:paraId="360D09EA" w14:textId="4C6837E7" w:rsidR="00B37707" w:rsidRPr="000A6916" w:rsidRDefault="00B37707" w:rsidP="00B37707">
      <w:pPr>
        <w:jc w:val="both"/>
        <w:rPr>
          <w:rFonts w:ascii="Times New Roman" w:hAnsi="Times New Roman" w:cs="Times New Roman"/>
          <w:noProof/>
          <w:sz w:val="24"/>
          <w:lang w:val="pl-PL"/>
        </w:rPr>
      </w:pPr>
      <w:r w:rsidRPr="000A6916">
        <w:rPr>
          <w:rFonts w:ascii="Times New Roman" w:hAnsi="Times New Roman"/>
          <w:noProof/>
          <w:sz w:val="24"/>
          <w:lang w:val="pl-PL"/>
        </w:rPr>
        <w:t>Komisja</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zad</w:t>
      </w:r>
      <w:r w:rsidRPr="000A6916">
        <w:rPr>
          <w:rFonts w:ascii="Times New Roman" w:hAnsi="Times New Roman"/>
          <w:noProof/>
          <w:sz w:val="24"/>
          <w:lang w:val="pl-PL"/>
        </w:rPr>
        <w:t>owoleniem przyjmuje również kolejną istotną zmianę, tj. przekształcenie ustawy</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kom</w:t>
      </w:r>
      <w:r w:rsidRPr="000A6916">
        <w:rPr>
          <w:rFonts w:ascii="Times New Roman" w:hAnsi="Times New Roman"/>
          <w:noProof/>
          <w:sz w:val="24"/>
          <w:lang w:val="pl-PL"/>
        </w:rPr>
        <w:t>pleksowe ramy ochrony danych obejmujące zarówno sektor prywatny, jak</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sek</w:t>
      </w:r>
      <w:r w:rsidRPr="000A6916">
        <w:rPr>
          <w:rFonts w:ascii="Times New Roman" w:hAnsi="Times New Roman"/>
          <w:noProof/>
          <w:sz w:val="24"/>
          <w:lang w:val="pl-PL"/>
        </w:rPr>
        <w:t>tor publiczny, podlegające wyłącznemu nadzorowi Komisji ds. Ochrony Informacji Osobowych</w:t>
      </w:r>
      <w:r w:rsidRPr="000A6916">
        <w:rPr>
          <w:rStyle w:val="FootnoteReference"/>
          <w:rFonts w:ascii="Times New Roman" w:hAnsi="Times New Roman" w:cs="Times New Roman"/>
          <w:noProof/>
          <w:sz w:val="24"/>
          <w:lang w:val="pl-PL"/>
        </w:rPr>
        <w:footnoteReference w:id="21"/>
      </w:r>
      <w:r w:rsidRPr="000A6916">
        <w:rPr>
          <w:rFonts w:ascii="Times New Roman" w:hAnsi="Times New Roman"/>
          <w:noProof/>
          <w:sz w:val="24"/>
          <w:lang w:val="pl-PL"/>
        </w:rPr>
        <w:t>. To dalsze umocnienie japońskich ram ochrony danych</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zwi</w:t>
      </w:r>
      <w:r w:rsidRPr="000A6916">
        <w:rPr>
          <w:rFonts w:ascii="Times New Roman" w:hAnsi="Times New Roman"/>
          <w:noProof/>
          <w:sz w:val="24"/>
          <w:lang w:val="pl-PL"/>
        </w:rPr>
        <w:t>ększenie uprawnień Komisji ds. Ochrony Informacji Osobowych może stanowić krok</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kie</w:t>
      </w:r>
      <w:r w:rsidRPr="000A6916">
        <w:rPr>
          <w:rFonts w:ascii="Times New Roman" w:hAnsi="Times New Roman"/>
          <w:noProof/>
          <w:sz w:val="24"/>
          <w:lang w:val="pl-PL"/>
        </w:rPr>
        <w:t>runku rozszerzenia zakresu stosowania decyzji stwierdzającej odpowiedni stopień ochrony tak, aby wykraczała ona poza wymianę handlową</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obe</w:t>
      </w:r>
      <w:r w:rsidRPr="000A6916">
        <w:rPr>
          <w:rFonts w:ascii="Times New Roman" w:hAnsi="Times New Roman"/>
          <w:noProof/>
          <w:sz w:val="24"/>
          <w:lang w:val="pl-PL"/>
        </w:rPr>
        <w:t>jmowała również przekazywanie danych obecnie wykraczające poza jej zakres stosowania,</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tym</w:t>
      </w:r>
      <w:r w:rsidRPr="000A6916">
        <w:rPr>
          <w:rFonts w:ascii="Times New Roman" w:hAnsi="Times New Roman"/>
          <w:noProof/>
          <w:sz w:val="24"/>
          <w:lang w:val="pl-PL"/>
        </w:rPr>
        <w:t xml:space="preserve"> przekazywanie danych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obs</w:t>
      </w:r>
      <w:r w:rsidRPr="000A6916">
        <w:rPr>
          <w:rFonts w:ascii="Times New Roman" w:hAnsi="Times New Roman"/>
          <w:noProof/>
          <w:sz w:val="24"/>
          <w:lang w:val="pl-PL"/>
        </w:rPr>
        <w:t>zarze współpracy regulacyjnej</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bad</w:t>
      </w:r>
      <w:r w:rsidRPr="000A6916">
        <w:rPr>
          <w:rFonts w:ascii="Times New Roman" w:hAnsi="Times New Roman"/>
          <w:noProof/>
          <w:sz w:val="24"/>
          <w:lang w:val="pl-PL"/>
        </w:rPr>
        <w:t xml:space="preserve">ań naukowych. </w:t>
      </w:r>
    </w:p>
    <w:p w14:paraId="50505F85" w14:textId="0580E78E" w:rsidR="003743B7" w:rsidRPr="000A6916" w:rsidRDefault="0060618E" w:rsidP="001D2022">
      <w:pPr>
        <w:jc w:val="both"/>
        <w:rPr>
          <w:rFonts w:ascii="Times New Roman" w:hAnsi="Times New Roman" w:cs="Times New Roman"/>
          <w:noProof/>
          <w:sz w:val="24"/>
          <w:lang w:val="pl-PL"/>
        </w:rPr>
      </w:pPr>
      <w:r w:rsidRPr="000A6916">
        <w:rPr>
          <w:rFonts w:ascii="Times New Roman" w:hAnsi="Times New Roman"/>
          <w:noProof/>
          <w:sz w:val="24"/>
          <w:lang w:val="pl-PL"/>
        </w:rPr>
        <w:t>W ramach tego pierwszego przeglądu skoncentrowano się również na nowych przepisach dotyczących tworzenia</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wyk</w:t>
      </w:r>
      <w:r w:rsidRPr="000A6916">
        <w:rPr>
          <w:rFonts w:ascii="Times New Roman" w:hAnsi="Times New Roman"/>
          <w:noProof/>
          <w:sz w:val="24"/>
          <w:lang w:val="pl-PL"/>
        </w:rPr>
        <w:t>orzystywania „pseudonimicznych informacji osobowych”, wprowadzonych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dro</w:t>
      </w:r>
      <w:r w:rsidRPr="000A6916">
        <w:rPr>
          <w:rFonts w:ascii="Times New Roman" w:hAnsi="Times New Roman"/>
          <w:noProof/>
          <w:sz w:val="24"/>
          <w:lang w:val="pl-PL"/>
        </w:rPr>
        <w:t>dze zmiany ustawy</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2</w:t>
      </w:r>
      <w:r w:rsidRPr="000A6916">
        <w:rPr>
          <w:rFonts w:ascii="Times New Roman" w:hAnsi="Times New Roman"/>
          <w:noProof/>
          <w:sz w:val="24"/>
          <w:lang w:val="pl-PL"/>
        </w:rPr>
        <w:t>020</w:t>
      </w:r>
      <w:r w:rsidR="000A6916" w:rsidRPr="000A6916">
        <w:rPr>
          <w:rFonts w:ascii="Times New Roman" w:hAnsi="Times New Roman"/>
          <w:noProof/>
          <w:sz w:val="24"/>
          <w:lang w:val="pl-PL"/>
        </w:rPr>
        <w:t> </w:t>
      </w:r>
      <w:r w:rsidRPr="000A6916">
        <w:rPr>
          <w:rFonts w:ascii="Times New Roman" w:hAnsi="Times New Roman"/>
          <w:noProof/>
          <w:sz w:val="24"/>
          <w:lang w:val="pl-PL"/>
        </w:rPr>
        <w:t>r.</w:t>
      </w:r>
      <w:r w:rsidRPr="000A6916">
        <w:rPr>
          <w:rStyle w:val="FootnoteReference"/>
          <w:rFonts w:ascii="Times New Roman" w:hAnsi="Times New Roman" w:cs="Times New Roman"/>
          <w:noProof/>
          <w:sz w:val="24"/>
          <w:lang w:val="pl-PL"/>
        </w:rPr>
        <w:footnoteReference w:id="22"/>
      </w:r>
      <w:r w:rsidRPr="000A6916">
        <w:rPr>
          <w:rFonts w:ascii="Times New Roman" w:hAnsi="Times New Roman"/>
          <w:noProof/>
          <w:sz w:val="24"/>
          <w:lang w:val="pl-PL"/>
        </w:rPr>
        <w:t xml:space="preserve"> Zasadniczo celem tych nowych przepisów jest ułatwienie (wewnętrznego) wykorzystania informacji osobowych przez przedsiębiorstwa przetwarzające informacje osobowe głównie do celów statystycznych (np. aby identyfikować tendencje</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wzo</w:t>
      </w:r>
      <w:r w:rsidRPr="000A6916">
        <w:rPr>
          <w:rFonts w:ascii="Times New Roman" w:hAnsi="Times New Roman"/>
          <w:noProof/>
          <w:sz w:val="24"/>
          <w:lang w:val="pl-PL"/>
        </w:rPr>
        <w:t>ry na potrzeby dalszej działalności,</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tym</w:t>
      </w:r>
      <w:r w:rsidRPr="000A6916">
        <w:rPr>
          <w:rFonts w:ascii="Times New Roman" w:hAnsi="Times New Roman"/>
          <w:noProof/>
          <w:sz w:val="24"/>
          <w:lang w:val="pl-PL"/>
        </w:rPr>
        <w:t xml:space="preserve"> badań). Podczas spotkania przeglądowego</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w</w:t>
      </w:r>
      <w:r w:rsidR="000A6916">
        <w:rPr>
          <w:rFonts w:ascii="Times New Roman" w:hAnsi="Times New Roman"/>
          <w:noProof/>
          <w:sz w:val="24"/>
          <w:lang w:val="pl-PL"/>
        </w:rPr>
        <w:t> </w:t>
      </w:r>
      <w:r w:rsidR="000A6916" w:rsidRPr="000A6916">
        <w:rPr>
          <w:rFonts w:ascii="Times New Roman" w:hAnsi="Times New Roman"/>
          <w:noProof/>
          <w:sz w:val="24"/>
          <w:lang w:val="pl-PL"/>
        </w:rPr>
        <w:t>ram</w:t>
      </w:r>
      <w:r w:rsidRPr="000A6916">
        <w:rPr>
          <w:rFonts w:ascii="Times New Roman" w:hAnsi="Times New Roman"/>
          <w:noProof/>
          <w:sz w:val="24"/>
          <w:lang w:val="pl-PL"/>
        </w:rPr>
        <w:t>ach późniejszych wymian informacji między Komisją</w:t>
      </w:r>
      <w:r w:rsidR="000A6916" w:rsidRPr="000A6916">
        <w:rPr>
          <w:rFonts w:ascii="Times New Roman" w:hAnsi="Times New Roman"/>
          <w:noProof/>
          <w:sz w:val="24"/>
          <w:lang w:val="pl-PL"/>
        </w:rPr>
        <w:t xml:space="preserve"> a</w:t>
      </w:r>
      <w:r w:rsidR="000A6916">
        <w:rPr>
          <w:rFonts w:ascii="Times New Roman" w:hAnsi="Times New Roman"/>
          <w:noProof/>
          <w:sz w:val="24"/>
          <w:lang w:val="pl-PL"/>
        </w:rPr>
        <w:t> </w:t>
      </w:r>
      <w:r w:rsidR="000A6916" w:rsidRPr="000A6916">
        <w:rPr>
          <w:rFonts w:ascii="Times New Roman" w:hAnsi="Times New Roman"/>
          <w:noProof/>
          <w:sz w:val="24"/>
          <w:lang w:val="pl-PL"/>
        </w:rPr>
        <w:t>Kom</w:t>
      </w:r>
      <w:r w:rsidRPr="000A6916">
        <w:rPr>
          <w:rFonts w:ascii="Times New Roman" w:hAnsi="Times New Roman"/>
          <w:noProof/>
          <w:sz w:val="24"/>
          <w:lang w:val="pl-PL"/>
        </w:rPr>
        <w:t>isją ds. Ochrony Informacji Osobowych udało się wyjaśnić interpretację</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sto</w:t>
      </w:r>
      <w:r w:rsidRPr="000A6916">
        <w:rPr>
          <w:rFonts w:ascii="Times New Roman" w:hAnsi="Times New Roman"/>
          <w:noProof/>
          <w:sz w:val="24"/>
          <w:lang w:val="pl-PL"/>
        </w:rPr>
        <w:t>sowanie tych nowych przepisów</w:t>
      </w:r>
      <w:r w:rsidR="000A6916" w:rsidRPr="000A6916">
        <w:rPr>
          <w:rFonts w:ascii="Times New Roman" w:hAnsi="Times New Roman"/>
          <w:noProof/>
          <w:sz w:val="24"/>
          <w:lang w:val="pl-PL"/>
        </w:rPr>
        <w:t>. W</w:t>
      </w:r>
      <w:r w:rsidR="000A6916">
        <w:rPr>
          <w:rFonts w:ascii="Times New Roman" w:hAnsi="Times New Roman"/>
          <w:noProof/>
          <w:sz w:val="24"/>
          <w:lang w:val="pl-PL"/>
        </w:rPr>
        <w:t> </w:t>
      </w:r>
      <w:r w:rsidR="000A6916" w:rsidRPr="000A6916">
        <w:rPr>
          <w:rFonts w:ascii="Times New Roman" w:hAnsi="Times New Roman"/>
          <w:noProof/>
          <w:sz w:val="24"/>
          <w:lang w:val="pl-PL"/>
        </w:rPr>
        <w:t>wyn</w:t>
      </w:r>
      <w:r w:rsidRPr="000A6916">
        <w:rPr>
          <w:rFonts w:ascii="Times New Roman" w:hAnsi="Times New Roman"/>
          <w:noProof/>
          <w:sz w:val="24"/>
          <w:lang w:val="pl-PL"/>
        </w:rPr>
        <w:t>iku przeprowadzonych dyskusji, aby wyraźniej odzwierciedlić zamierzone stosowanie tych nowych przepisów</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tym</w:t>
      </w:r>
      <w:r w:rsidRPr="000A6916">
        <w:rPr>
          <w:rFonts w:ascii="Times New Roman" w:hAnsi="Times New Roman"/>
          <w:noProof/>
          <w:sz w:val="24"/>
          <w:lang w:val="pl-PL"/>
        </w:rPr>
        <w:t xml:space="preserve"> samym zapewnić pewność prawa</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ejrzystość, 15 marca 2023</w:t>
      </w:r>
      <w:r w:rsidR="000A6916" w:rsidRPr="000A6916">
        <w:rPr>
          <w:rFonts w:ascii="Times New Roman" w:hAnsi="Times New Roman"/>
          <w:noProof/>
          <w:sz w:val="24"/>
          <w:lang w:val="pl-PL"/>
        </w:rPr>
        <w:t> </w:t>
      </w:r>
      <w:r w:rsidRPr="000A6916">
        <w:rPr>
          <w:rFonts w:ascii="Times New Roman" w:hAnsi="Times New Roman"/>
          <w:noProof/>
          <w:sz w:val="24"/>
          <w:lang w:val="pl-PL"/>
        </w:rPr>
        <w:t>r. zmieniono przepisy uzupełniające na dwa sposoby</w:t>
      </w:r>
      <w:r w:rsidRPr="000A6916">
        <w:rPr>
          <w:rStyle w:val="FootnoteReference"/>
          <w:rFonts w:ascii="Times New Roman" w:hAnsi="Times New Roman" w:cs="Times New Roman"/>
          <w:noProof/>
          <w:sz w:val="24"/>
          <w:lang w:val="pl-PL"/>
        </w:rPr>
        <w:footnoteReference w:id="23"/>
      </w:r>
      <w:r w:rsidRPr="000A6916">
        <w:rPr>
          <w:rFonts w:ascii="Times New Roman" w:hAnsi="Times New Roman"/>
          <w:noProof/>
          <w:sz w:val="24"/>
          <w:lang w:val="pl-PL"/>
        </w:rPr>
        <w:t>. Po pierwsze, przepisy uzupełniające stanowią, że takie informacje można wykorzystywać wyłącznie do celów statystycznych – zdefiniowanych jako przetwarzanie badań statystycznych lub opracowywanie wyników statystycznych – tak, aby uzyskać dane zagregowane, oraz że wyniki takiego przetwarzania nie będą wykorzystywane na potrzeby przyjmowania środków lub decyzji</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odn</w:t>
      </w:r>
      <w:r w:rsidRPr="000A6916">
        <w:rPr>
          <w:rFonts w:ascii="Times New Roman" w:hAnsi="Times New Roman"/>
          <w:noProof/>
          <w:sz w:val="24"/>
          <w:lang w:val="pl-PL"/>
        </w:rPr>
        <w:t>iesieniu do konkretnych osób fizycznych. Po drugie,</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episach tych wyraźnie wyjaśniono, że pseudonimiczne informacje osobowe pierwotnie otrzymane z UE zawsze będą traktowane jako „informacje osobowe” na podstawie ustawy</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 aby uniknąć przerwania ciągłości ochrony danych uznawanych za dane osobowe na podstawie RODO</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ypadku, gdy dane te są przekazywane na podstawie decyzji stwierdzającej odpowiedni stopień ochrony</w:t>
      </w:r>
      <w:r w:rsidRPr="000A6916">
        <w:rPr>
          <w:rStyle w:val="FootnoteReference"/>
          <w:rFonts w:ascii="Times New Roman" w:hAnsi="Times New Roman" w:cs="Times New Roman"/>
          <w:noProof/>
          <w:sz w:val="24"/>
          <w:lang w:val="pl-PL"/>
        </w:rPr>
        <w:footnoteReference w:id="24"/>
      </w:r>
      <w:r w:rsidRPr="000A6916">
        <w:rPr>
          <w:rFonts w:ascii="Times New Roman" w:hAnsi="Times New Roman"/>
          <w:noProof/>
          <w:sz w:val="24"/>
          <w:lang w:val="pl-PL"/>
        </w:rPr>
        <w:t xml:space="preserve">. </w:t>
      </w:r>
    </w:p>
    <w:p w14:paraId="41DFB5E6" w14:textId="71ACFEE9" w:rsidR="00BF4F96" w:rsidRPr="000A6916" w:rsidRDefault="007340FB" w:rsidP="00FC4AC0">
      <w:pPr>
        <w:jc w:val="both"/>
        <w:rPr>
          <w:rFonts w:ascii="Times New Roman" w:hAnsi="Times New Roman" w:cs="Times New Roman"/>
          <w:noProof/>
          <w:sz w:val="24"/>
          <w:lang w:val="pl-PL"/>
        </w:rPr>
      </w:pPr>
      <w:r w:rsidRPr="000A6916">
        <w:rPr>
          <w:rFonts w:ascii="Times New Roman" w:hAnsi="Times New Roman"/>
          <w:noProof/>
          <w:sz w:val="24"/>
          <w:lang w:val="pl-PL"/>
        </w:rPr>
        <w:t>Jeżeli chodzi</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wpr</w:t>
      </w:r>
      <w:r w:rsidRPr="000A6916">
        <w:rPr>
          <w:rFonts w:ascii="Times New Roman" w:hAnsi="Times New Roman"/>
          <w:noProof/>
          <w:sz w:val="24"/>
          <w:lang w:val="pl-PL"/>
        </w:rPr>
        <w:t>owadzenie zabezpieczeń</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zak</w:t>
      </w:r>
      <w:r w:rsidRPr="000A6916">
        <w:rPr>
          <w:rFonts w:ascii="Times New Roman" w:hAnsi="Times New Roman"/>
          <w:noProof/>
          <w:sz w:val="24"/>
          <w:lang w:val="pl-PL"/>
        </w:rPr>
        <w:t>resie ochrony danych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pra</w:t>
      </w:r>
      <w:r w:rsidRPr="000A6916">
        <w:rPr>
          <w:rFonts w:ascii="Times New Roman" w:hAnsi="Times New Roman"/>
          <w:noProof/>
          <w:sz w:val="24"/>
          <w:lang w:val="pl-PL"/>
        </w:rPr>
        <w:t>ktyce, Komisja</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zad</w:t>
      </w:r>
      <w:r w:rsidRPr="000A6916">
        <w:rPr>
          <w:rFonts w:ascii="Times New Roman" w:hAnsi="Times New Roman"/>
          <w:noProof/>
          <w:sz w:val="24"/>
          <w:lang w:val="pl-PL"/>
        </w:rPr>
        <w:t>owoleniem przyjmuje różne działania podjęte przez Komisję ds. Ochrony Informacji Osobowych. Do takich działań należy między innymi przyjęcie zaktualizowanych wytycznych,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tym</w:t>
      </w:r>
      <w:r w:rsidRPr="000A6916">
        <w:rPr>
          <w:rFonts w:ascii="Times New Roman" w:hAnsi="Times New Roman"/>
          <w:noProof/>
          <w:sz w:val="24"/>
          <w:lang w:val="pl-PL"/>
        </w:rPr>
        <w:t xml:space="preserve"> wytycznych dotyczących międzynarodowego przekazywania danych. Komisja odnotowuje, że wytyczne można by wyjaśnić przez dodatkowe uwzględnienie</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nic</w:t>
      </w:r>
      <w:r w:rsidRPr="000A6916">
        <w:rPr>
          <w:rFonts w:ascii="Times New Roman" w:hAnsi="Times New Roman"/>
          <w:noProof/>
          <w:sz w:val="24"/>
          <w:lang w:val="pl-PL"/>
        </w:rPr>
        <w:t>h mających zastosowanie zgodnie</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episami uzupełniającymi konkretnych wymogów dotyczących dalszego przekazywania</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Jap</w:t>
      </w:r>
      <w:r w:rsidRPr="000A6916">
        <w:rPr>
          <w:rFonts w:ascii="Times New Roman" w:hAnsi="Times New Roman"/>
          <w:noProof/>
          <w:sz w:val="24"/>
          <w:lang w:val="pl-PL"/>
        </w:rPr>
        <w:t>onii danych osobowych otrzymanych</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Uni</w:t>
      </w:r>
      <w:r w:rsidRPr="000A6916">
        <w:rPr>
          <w:rFonts w:ascii="Times New Roman" w:hAnsi="Times New Roman"/>
          <w:noProof/>
          <w:sz w:val="24"/>
          <w:lang w:val="pl-PL"/>
        </w:rPr>
        <w:t>i,</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tym</w:t>
      </w:r>
      <w:r w:rsidRPr="000A6916">
        <w:rPr>
          <w:rFonts w:ascii="Times New Roman" w:hAnsi="Times New Roman"/>
          <w:noProof/>
          <w:sz w:val="24"/>
          <w:lang w:val="pl-PL"/>
        </w:rPr>
        <w:t xml:space="preserve"> – jak określono</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sek</w:t>
      </w:r>
      <w:r w:rsidRPr="000A6916">
        <w:rPr>
          <w:rFonts w:ascii="Times New Roman" w:hAnsi="Times New Roman"/>
          <w:noProof/>
          <w:sz w:val="24"/>
          <w:lang w:val="pl-PL"/>
        </w:rPr>
        <w:t>cji 4 przepisów uzupełniających</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wyj</w:t>
      </w:r>
      <w:r w:rsidRPr="000A6916">
        <w:rPr>
          <w:rFonts w:ascii="Times New Roman" w:hAnsi="Times New Roman"/>
          <w:noProof/>
          <w:sz w:val="24"/>
          <w:lang w:val="pl-PL"/>
        </w:rPr>
        <w:t>aśniono</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dec</w:t>
      </w:r>
      <w:r w:rsidRPr="000A6916">
        <w:rPr>
          <w:rFonts w:ascii="Times New Roman" w:hAnsi="Times New Roman"/>
          <w:noProof/>
          <w:sz w:val="24"/>
          <w:lang w:val="pl-PL"/>
        </w:rPr>
        <w:t>yzji stwierdzającej odpowiedni stopień ochrony</w:t>
      </w:r>
      <w:r w:rsidRPr="000A6916">
        <w:rPr>
          <w:rStyle w:val="FootnoteReference"/>
          <w:rFonts w:ascii="Times New Roman" w:hAnsi="Times New Roman" w:cs="Times New Roman"/>
          <w:noProof/>
          <w:sz w:val="24"/>
          <w:lang w:val="pl-PL"/>
        </w:rPr>
        <w:footnoteReference w:id="25"/>
      </w:r>
      <w:r w:rsidRPr="000A6916">
        <w:rPr>
          <w:rFonts w:ascii="Times New Roman" w:hAnsi="Times New Roman"/>
          <w:noProof/>
          <w:sz w:val="24"/>
          <w:lang w:val="pl-PL"/>
        </w:rPr>
        <w:t xml:space="preserve"> – przez uwzględnienie wyłączenia dalszego przekazywania danych na podstawie certyfikacyjnego systemu transgranicznych zasad ochrony prywatności APEC (CBPR). Co więcej, chociaż Komisja ds. Ochrony Informacji Osobowych wyjaśniła, że</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cel</w:t>
      </w:r>
      <w:r w:rsidRPr="000A6916">
        <w:rPr>
          <w:rFonts w:ascii="Times New Roman" w:hAnsi="Times New Roman"/>
          <w:noProof/>
          <w:sz w:val="24"/>
          <w:lang w:val="pl-PL"/>
        </w:rPr>
        <w:t>u dalszego przekazywania danych pierwotnie otrzymanych z UE podmioty gospodarcze przetwarzające informacje osobowe „zawierają umowy, na podstawie których odbiorca danych jest prawnie zobowiązany do przestrzegania środków zapewniających ciągłość ochrony”, Komisja ds. Ochrony Informacji Osobowych obecnie nie zapewnia wytycznych dotyczących zalecanej treści (w zakresie zabezpieczeń) „równoważnych środków” stosowanych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odn</w:t>
      </w:r>
      <w:r w:rsidRPr="000A6916">
        <w:rPr>
          <w:rFonts w:ascii="Times New Roman" w:hAnsi="Times New Roman"/>
          <w:noProof/>
          <w:sz w:val="24"/>
          <w:lang w:val="pl-PL"/>
        </w:rPr>
        <w:t>iesieniu do międzynarodowego przekazywania danych, czy to</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for</w:t>
      </w:r>
      <w:r w:rsidRPr="000A6916">
        <w:rPr>
          <w:rFonts w:ascii="Times New Roman" w:hAnsi="Times New Roman"/>
          <w:noProof/>
          <w:sz w:val="24"/>
          <w:lang w:val="pl-PL"/>
        </w:rPr>
        <w:t>mie wytycznych, czy też wzoru umów</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danych. Takie dodatkowe wyjaśnienia, które mogłyby opierać się</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szc</w:t>
      </w:r>
      <w:r w:rsidRPr="000A6916">
        <w:rPr>
          <w:rFonts w:ascii="Times New Roman" w:hAnsi="Times New Roman"/>
          <w:noProof/>
          <w:sz w:val="24"/>
          <w:lang w:val="pl-PL"/>
        </w:rPr>
        <w:t>zególności na wymianie informacji</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naj</w:t>
      </w:r>
      <w:r w:rsidRPr="000A6916">
        <w:rPr>
          <w:rFonts w:ascii="Times New Roman" w:hAnsi="Times New Roman"/>
          <w:noProof/>
          <w:sz w:val="24"/>
          <w:lang w:val="pl-PL"/>
        </w:rPr>
        <w:t>lepszych praktyk między Komisją ds. Ochrony Informacji Osobowych</w:t>
      </w:r>
      <w:r w:rsidR="000A6916" w:rsidRPr="000A6916">
        <w:rPr>
          <w:rFonts w:ascii="Times New Roman" w:hAnsi="Times New Roman"/>
          <w:noProof/>
          <w:sz w:val="24"/>
          <w:lang w:val="pl-PL"/>
        </w:rPr>
        <w:t xml:space="preserve"> a</w:t>
      </w:r>
      <w:r w:rsidR="000A6916">
        <w:rPr>
          <w:rFonts w:ascii="Times New Roman" w:hAnsi="Times New Roman"/>
          <w:noProof/>
          <w:sz w:val="24"/>
          <w:lang w:val="pl-PL"/>
        </w:rPr>
        <w:t> </w:t>
      </w:r>
      <w:r w:rsidR="000A6916" w:rsidRPr="000A6916">
        <w:rPr>
          <w:rFonts w:ascii="Times New Roman" w:hAnsi="Times New Roman"/>
          <w:noProof/>
          <w:sz w:val="24"/>
          <w:lang w:val="pl-PL"/>
        </w:rPr>
        <w:t>Kom</w:t>
      </w:r>
      <w:r w:rsidRPr="000A6916">
        <w:rPr>
          <w:rFonts w:ascii="Times New Roman" w:hAnsi="Times New Roman"/>
          <w:noProof/>
          <w:sz w:val="24"/>
          <w:lang w:val="pl-PL"/>
        </w:rPr>
        <w:t>isją, mogłyby być szczególnie przydatne, gdyż dotyczą one kwestii</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ist</w:t>
      </w:r>
      <w:r w:rsidRPr="000A6916">
        <w:rPr>
          <w:rFonts w:ascii="Times New Roman" w:hAnsi="Times New Roman"/>
          <w:noProof/>
          <w:sz w:val="24"/>
          <w:lang w:val="pl-PL"/>
        </w:rPr>
        <w:t>otnym znaczeniu</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pun</w:t>
      </w:r>
      <w:r w:rsidRPr="000A6916">
        <w:rPr>
          <w:rFonts w:ascii="Times New Roman" w:hAnsi="Times New Roman"/>
          <w:noProof/>
          <w:sz w:val="24"/>
          <w:lang w:val="pl-PL"/>
        </w:rPr>
        <w:t>ktu widzenia przedsiębiorstw prowadzących działalność</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obu</w:t>
      </w:r>
      <w:r w:rsidRPr="000A6916">
        <w:rPr>
          <w:rFonts w:ascii="Times New Roman" w:hAnsi="Times New Roman"/>
          <w:noProof/>
          <w:sz w:val="24"/>
          <w:lang w:val="pl-PL"/>
        </w:rPr>
        <w:t xml:space="preserve"> jurysdykcjach.</w:t>
      </w:r>
    </w:p>
    <w:p w14:paraId="7631D3FB" w14:textId="7B1564CB" w:rsidR="006B3034" w:rsidRPr="000A6916" w:rsidRDefault="006B5944" w:rsidP="00BA1561">
      <w:pPr>
        <w:jc w:val="both"/>
        <w:rPr>
          <w:rFonts w:ascii="Times New Roman" w:hAnsi="Times New Roman" w:cs="Times New Roman"/>
          <w:noProof/>
          <w:sz w:val="24"/>
          <w:lang w:val="pl-PL"/>
        </w:rPr>
      </w:pPr>
      <w:r w:rsidRPr="000A6916">
        <w:rPr>
          <w:rFonts w:ascii="Times New Roman" w:hAnsi="Times New Roman"/>
          <w:noProof/>
          <w:sz w:val="24"/>
          <w:lang w:val="pl-PL"/>
        </w:rPr>
        <w:t>Jeżeli chodzi</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nad</w:t>
      </w:r>
      <w:r w:rsidRPr="000A6916">
        <w:rPr>
          <w:rFonts w:ascii="Times New Roman" w:hAnsi="Times New Roman"/>
          <w:noProof/>
          <w:sz w:val="24"/>
          <w:lang w:val="pl-PL"/>
        </w:rPr>
        <w:t>zór</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egz</w:t>
      </w:r>
      <w:r w:rsidRPr="000A6916">
        <w:rPr>
          <w:rFonts w:ascii="Times New Roman" w:hAnsi="Times New Roman"/>
          <w:noProof/>
          <w:sz w:val="24"/>
          <w:lang w:val="pl-PL"/>
        </w:rPr>
        <w:t>ekwowanie przepisów, Komisja zauważa, że odkąd przyjęto decyzję stwierdzającą odpowiedni stopień ochrony, Komisja ds. Ochrony Informacji Osobowych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wię</w:t>
      </w:r>
      <w:r w:rsidRPr="000A6916">
        <w:rPr>
          <w:rFonts w:ascii="Times New Roman" w:hAnsi="Times New Roman"/>
          <w:noProof/>
          <w:sz w:val="24"/>
          <w:lang w:val="pl-PL"/>
        </w:rPr>
        <w:t>kszym stopniu korzysta</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upr</w:t>
      </w:r>
      <w:r w:rsidRPr="000A6916">
        <w:rPr>
          <w:rFonts w:ascii="Times New Roman" w:hAnsi="Times New Roman"/>
          <w:noProof/>
          <w:sz w:val="24"/>
          <w:lang w:val="pl-PL"/>
        </w:rPr>
        <w:t>awnień nieobejmujących środków przymusu, tj. wydaje wytyczne</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por</w:t>
      </w:r>
      <w:r w:rsidRPr="000A6916">
        <w:rPr>
          <w:rFonts w:ascii="Times New Roman" w:hAnsi="Times New Roman"/>
          <w:noProof/>
          <w:sz w:val="24"/>
          <w:lang w:val="pl-PL"/>
        </w:rPr>
        <w:t>ady (art.</w:t>
      </w:r>
      <w:r w:rsidR="000A6916" w:rsidRPr="000A6916">
        <w:rPr>
          <w:rFonts w:ascii="Times New Roman" w:hAnsi="Times New Roman"/>
          <w:noProof/>
          <w:sz w:val="24"/>
          <w:lang w:val="pl-PL"/>
        </w:rPr>
        <w:t> </w:t>
      </w:r>
      <w:r w:rsidRPr="000A6916">
        <w:rPr>
          <w:rFonts w:ascii="Times New Roman" w:hAnsi="Times New Roman"/>
          <w:noProof/>
          <w:sz w:val="24"/>
          <w:lang w:val="pl-PL"/>
        </w:rPr>
        <w:t>147 ustawy</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 niż</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upr</w:t>
      </w:r>
      <w:r w:rsidRPr="000A6916">
        <w:rPr>
          <w:rFonts w:ascii="Times New Roman" w:hAnsi="Times New Roman"/>
          <w:noProof/>
          <w:sz w:val="24"/>
          <w:lang w:val="pl-PL"/>
        </w:rPr>
        <w:t>awnień obejmujących środki przymusu (np. uprawnień do nakładania wiążących zarządzeń, art.</w:t>
      </w:r>
      <w:r w:rsidR="000A6916" w:rsidRPr="000A6916">
        <w:rPr>
          <w:rFonts w:ascii="Times New Roman" w:hAnsi="Times New Roman"/>
          <w:noProof/>
          <w:sz w:val="24"/>
          <w:lang w:val="pl-PL"/>
        </w:rPr>
        <w:t> </w:t>
      </w:r>
      <w:r w:rsidRPr="000A6916">
        <w:rPr>
          <w:rFonts w:ascii="Times New Roman" w:hAnsi="Times New Roman"/>
          <w:noProof/>
          <w:sz w:val="24"/>
          <w:lang w:val="pl-PL"/>
        </w:rPr>
        <w:t>148 ustawy</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 Komisja ds. Ochrony Informacji Osobowych stwierdziła również, że jak dotąd nie wpłynęły żadne skargi dotyczące przestrzegania przepisów uzupełniających,</w:t>
      </w:r>
      <w:r w:rsidR="000A6916" w:rsidRPr="000A6916">
        <w:rPr>
          <w:rFonts w:ascii="Times New Roman" w:hAnsi="Times New Roman"/>
          <w:noProof/>
          <w:sz w:val="24"/>
          <w:lang w:val="pl-PL"/>
        </w:rPr>
        <w:t xml:space="preserve"> a</w:t>
      </w:r>
      <w:r w:rsidR="000A6916">
        <w:rPr>
          <w:rFonts w:ascii="Times New Roman" w:hAnsi="Times New Roman"/>
          <w:noProof/>
          <w:sz w:val="24"/>
          <w:lang w:val="pl-PL"/>
        </w:rPr>
        <w:t> </w:t>
      </w:r>
      <w:r w:rsidR="000A6916" w:rsidRPr="000A6916">
        <w:rPr>
          <w:rFonts w:ascii="Times New Roman" w:hAnsi="Times New Roman"/>
          <w:noProof/>
          <w:sz w:val="24"/>
          <w:lang w:val="pl-PL"/>
        </w:rPr>
        <w:t>pon</w:t>
      </w:r>
      <w:r w:rsidRPr="000A6916">
        <w:rPr>
          <w:rFonts w:ascii="Times New Roman" w:hAnsi="Times New Roman"/>
          <w:noProof/>
          <w:sz w:val="24"/>
          <w:lang w:val="pl-PL"/>
        </w:rPr>
        <w:t>adto że nie prowadziła ona</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urz</w:t>
      </w:r>
      <w:r w:rsidRPr="000A6916">
        <w:rPr>
          <w:rFonts w:ascii="Times New Roman" w:hAnsi="Times New Roman"/>
          <w:noProof/>
          <w:sz w:val="24"/>
          <w:lang w:val="pl-PL"/>
        </w:rPr>
        <w:t>ędu żadnych dochodzeń dotyczących takich kwestii. Na spotkaniu przeglądowym Komisja ds. Ochrony Informacji Osobowych ogłosiła jednak, że</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cel</w:t>
      </w:r>
      <w:r w:rsidRPr="000A6916">
        <w:rPr>
          <w:rFonts w:ascii="Times New Roman" w:hAnsi="Times New Roman"/>
          <w:noProof/>
          <w:sz w:val="24"/>
          <w:lang w:val="pl-PL"/>
        </w:rPr>
        <w:t>u zapewnienia przestrzegania przepisów uzupełniających rozważa prowadzenie</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urz</w:t>
      </w:r>
      <w:r w:rsidRPr="000A6916">
        <w:rPr>
          <w:rFonts w:ascii="Times New Roman" w:hAnsi="Times New Roman"/>
          <w:noProof/>
          <w:sz w:val="24"/>
          <w:lang w:val="pl-PL"/>
        </w:rPr>
        <w:t>ędu kontroli wyrywkowych. Komisja</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zad</w:t>
      </w:r>
      <w:r w:rsidRPr="000A6916">
        <w:rPr>
          <w:rFonts w:ascii="Times New Roman" w:hAnsi="Times New Roman"/>
          <w:noProof/>
          <w:sz w:val="24"/>
          <w:lang w:val="pl-PL"/>
        </w:rPr>
        <w:t>owoleniem przyjęła to ogłoszenie, ponieważ uważa, że takie kontrole wyrywkowe miałyby istotne znaczenie</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kon</w:t>
      </w:r>
      <w:r w:rsidRPr="000A6916">
        <w:rPr>
          <w:rFonts w:ascii="Times New Roman" w:hAnsi="Times New Roman"/>
          <w:noProof/>
          <w:sz w:val="24"/>
          <w:lang w:val="pl-PL"/>
        </w:rPr>
        <w:t>tekście zapewnienia, aby zapobiegano (ewentualnym) naruszeniom przepisów uzupełniających, wykrywano takie naruszenia i je eliminowano, dzięki czemu zagwarantowano by skuteczne przestrzeganie tych przepisów. Ponieważ</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ram</w:t>
      </w:r>
      <w:r w:rsidRPr="000A6916">
        <w:rPr>
          <w:rFonts w:ascii="Times New Roman" w:hAnsi="Times New Roman"/>
          <w:noProof/>
          <w:sz w:val="24"/>
          <w:lang w:val="pl-PL"/>
        </w:rPr>
        <w:t>ach zmian ustawy</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lat</w:t>
      </w:r>
      <w:r w:rsidRPr="000A6916">
        <w:rPr>
          <w:rFonts w:ascii="Times New Roman" w:hAnsi="Times New Roman"/>
          <w:noProof/>
          <w:sz w:val="24"/>
          <w:lang w:val="pl-PL"/>
        </w:rPr>
        <w:t>ach 2020</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2</w:t>
      </w:r>
      <w:r w:rsidRPr="000A6916">
        <w:rPr>
          <w:rFonts w:ascii="Times New Roman" w:hAnsi="Times New Roman"/>
          <w:noProof/>
          <w:sz w:val="24"/>
          <w:lang w:val="pl-PL"/>
        </w:rPr>
        <w:t>021 zwiększono uprawnienia nadzorcze Komisji ds. Ochrony Informacji Osobowych, takie kontrole wyrywkowe mogą stanowić element ogólnych działań służących większemu korzystaniu</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tyc</w:t>
      </w:r>
      <w:r w:rsidRPr="000A6916">
        <w:rPr>
          <w:rFonts w:ascii="Times New Roman" w:hAnsi="Times New Roman"/>
          <w:noProof/>
          <w:sz w:val="24"/>
          <w:lang w:val="pl-PL"/>
        </w:rPr>
        <w:t>h uprawnień.</w:t>
      </w:r>
    </w:p>
    <w:p w14:paraId="03AD075E" w14:textId="6E962723" w:rsidR="00D1708B" w:rsidRPr="000A6916" w:rsidRDefault="00D1708B" w:rsidP="00D1708B">
      <w:pPr>
        <w:jc w:val="both"/>
        <w:rPr>
          <w:rFonts w:ascii="Times New Roman" w:hAnsi="Times New Roman" w:cs="Times New Roman"/>
          <w:noProof/>
          <w:sz w:val="24"/>
          <w:lang w:val="pl-PL"/>
        </w:rPr>
      </w:pPr>
      <w:r w:rsidRPr="000A6916">
        <w:rPr>
          <w:rFonts w:ascii="Times New Roman" w:hAnsi="Times New Roman"/>
          <w:noProof/>
          <w:sz w:val="24"/>
          <w:lang w:val="pl-PL"/>
        </w:rPr>
        <w:t>Co więcej, Komisja</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wie</w:t>
      </w:r>
      <w:r w:rsidRPr="000A6916">
        <w:rPr>
          <w:rFonts w:ascii="Times New Roman" w:hAnsi="Times New Roman"/>
          <w:noProof/>
          <w:sz w:val="24"/>
          <w:lang w:val="pl-PL"/>
        </w:rPr>
        <w:t>lkim zadowoleniem przyjęła ustanowienie specjalnych punktów kontaktowych dla osób fizycznych z UE, które mają pytania</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oba</w:t>
      </w:r>
      <w:r w:rsidRPr="000A6916">
        <w:rPr>
          <w:rFonts w:ascii="Times New Roman" w:hAnsi="Times New Roman"/>
          <w:noProof/>
          <w:sz w:val="24"/>
          <w:lang w:val="pl-PL"/>
        </w:rPr>
        <w:t>wy co do przetwarzania ich danych osobowych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Jap</w:t>
      </w:r>
      <w:r w:rsidRPr="000A6916">
        <w:rPr>
          <w:rFonts w:ascii="Times New Roman" w:hAnsi="Times New Roman"/>
          <w:noProof/>
          <w:sz w:val="24"/>
          <w:lang w:val="pl-PL"/>
        </w:rPr>
        <w:t>onii, czy to przez podmioty handlowe (linia dotycząca zapytań, „Inquiry Line”) czy też organy publiczne (linia dotycząca mediacji</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spr</w:t>
      </w:r>
      <w:r w:rsidRPr="000A6916">
        <w:rPr>
          <w:rFonts w:ascii="Times New Roman" w:hAnsi="Times New Roman"/>
          <w:noProof/>
          <w:sz w:val="24"/>
          <w:lang w:val="pl-PL"/>
        </w:rPr>
        <w:t>awie skarg, „Complaint Mediation Line”). Jednocześnie zauważa, że na stronie internetowej linii dotyczącej zapytań stwierdzono, że jest ona dostępna „jedynie</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jęz</w:t>
      </w:r>
      <w:r w:rsidRPr="000A6916">
        <w:rPr>
          <w:rFonts w:ascii="Times New Roman" w:hAnsi="Times New Roman"/>
          <w:noProof/>
          <w:sz w:val="24"/>
          <w:lang w:val="pl-PL"/>
        </w:rPr>
        <w:t>yku japońskim”, co prawdopodobnie zniechęca osoby fizyczne z UE do korzystania</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teg</w:t>
      </w:r>
      <w:r w:rsidRPr="000A6916">
        <w:rPr>
          <w:rFonts w:ascii="Times New Roman" w:hAnsi="Times New Roman"/>
          <w:noProof/>
          <w:sz w:val="24"/>
          <w:lang w:val="pl-PL"/>
        </w:rPr>
        <w:t>o narzędzia, mimo że – jak wyjaśniła Komisja ds. Ochrony Informacji Osobowych – pomoc</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jęz</w:t>
      </w:r>
      <w:r w:rsidRPr="000A6916">
        <w:rPr>
          <w:rFonts w:ascii="Times New Roman" w:hAnsi="Times New Roman"/>
          <w:noProof/>
          <w:sz w:val="24"/>
          <w:lang w:val="pl-PL"/>
        </w:rPr>
        <w:t>yku angielskim zasadniczo jest dostępna. Komisja rozumie, że Komisja ds. Ochrony Informacji Osobowych będzie pracować nad zwiększeniem dostępności takich punktów kontaktowych dla Europejczyków,</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tym</w:t>
      </w:r>
      <w:r w:rsidRPr="000A6916">
        <w:rPr>
          <w:rFonts w:ascii="Times New Roman" w:hAnsi="Times New Roman"/>
          <w:noProof/>
          <w:sz w:val="24"/>
          <w:lang w:val="pl-PL"/>
        </w:rPr>
        <w:t xml:space="preserve"> poprzez wyjaśnienie tej kwestii.</w:t>
      </w:r>
    </w:p>
    <w:p w14:paraId="45D3CD02" w14:textId="25FA5DA7" w:rsidR="00314611" w:rsidRPr="000A6916" w:rsidRDefault="00314611" w:rsidP="006020A8">
      <w:pPr>
        <w:pStyle w:val="ListParagraph"/>
        <w:numPr>
          <w:ilvl w:val="0"/>
          <w:numId w:val="1"/>
        </w:numPr>
        <w:rPr>
          <w:rFonts w:ascii="Times New Roman" w:hAnsi="Times New Roman" w:cs="Times New Roman"/>
          <w:b/>
          <w:noProof/>
          <w:sz w:val="24"/>
          <w:lang w:val="pl-PL"/>
        </w:rPr>
      </w:pPr>
      <w:r w:rsidRPr="000A6916">
        <w:rPr>
          <w:rFonts w:ascii="Times New Roman" w:hAnsi="Times New Roman"/>
          <w:b/>
          <w:noProof/>
          <w:sz w:val="24"/>
          <w:lang w:val="pl-PL"/>
        </w:rPr>
        <w:t>WNIOSKI</w:t>
      </w:r>
    </w:p>
    <w:p w14:paraId="717836E6" w14:textId="1A89179A" w:rsidR="002E1F00" w:rsidRPr="000A6916" w:rsidRDefault="00A17989" w:rsidP="00A17989">
      <w:pPr>
        <w:jc w:val="both"/>
        <w:rPr>
          <w:rFonts w:ascii="Times New Roman" w:hAnsi="Times New Roman" w:cs="Times New Roman"/>
          <w:noProof/>
          <w:sz w:val="24"/>
          <w:lang w:val="pl-PL"/>
        </w:rPr>
      </w:pPr>
      <w:r w:rsidRPr="000A6916">
        <w:rPr>
          <w:rFonts w:ascii="Times New Roman" w:hAnsi="Times New Roman"/>
          <w:noProof/>
          <w:sz w:val="24"/>
          <w:lang w:val="pl-PL"/>
        </w:rPr>
        <w:t>Na podstawie ogólnych ustaleń poczynionych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ram</w:t>
      </w:r>
      <w:r w:rsidRPr="000A6916">
        <w:rPr>
          <w:rFonts w:ascii="Times New Roman" w:hAnsi="Times New Roman"/>
          <w:noProof/>
          <w:sz w:val="24"/>
          <w:lang w:val="pl-PL"/>
        </w:rPr>
        <w:t>ach tego pierwszego przeglądu Komisja stwierdza, że Japonia nadal zapewnia odpowiedni stopień ochrony danych osobowych przekazywanych</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Uni</w:t>
      </w:r>
      <w:r w:rsidRPr="000A6916">
        <w:rPr>
          <w:rFonts w:ascii="Times New Roman" w:hAnsi="Times New Roman"/>
          <w:noProof/>
          <w:sz w:val="24"/>
          <w:lang w:val="pl-PL"/>
        </w:rPr>
        <w:t>i Europejskiej podmiotom gospodarczym przetwarzającym informacje osobowe</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Jap</w:t>
      </w:r>
      <w:r w:rsidRPr="000A6916">
        <w:rPr>
          <w:rFonts w:ascii="Times New Roman" w:hAnsi="Times New Roman"/>
          <w:noProof/>
          <w:sz w:val="24"/>
          <w:lang w:val="pl-PL"/>
        </w:rPr>
        <w:t>onii</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zas</w:t>
      </w:r>
      <w:r w:rsidRPr="000A6916">
        <w:rPr>
          <w:rFonts w:ascii="Times New Roman" w:hAnsi="Times New Roman"/>
          <w:noProof/>
          <w:sz w:val="24"/>
          <w:lang w:val="pl-PL"/>
        </w:rPr>
        <w:t>trzeżeniem ustawy</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 wraz</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episami uzupełniającymi oraz oficjalnymi oświadczeniami, zapewnieniami</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zob</w:t>
      </w:r>
      <w:r w:rsidRPr="000A6916">
        <w:rPr>
          <w:rFonts w:ascii="Times New Roman" w:hAnsi="Times New Roman"/>
          <w:noProof/>
          <w:sz w:val="24"/>
          <w:lang w:val="pl-PL"/>
        </w:rPr>
        <w:t>owiązaniami zawartymi</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zał</w:t>
      </w:r>
      <w:r w:rsidRPr="000A6916">
        <w:rPr>
          <w:rFonts w:ascii="Times New Roman" w:hAnsi="Times New Roman"/>
          <w:noProof/>
          <w:sz w:val="24"/>
          <w:lang w:val="pl-PL"/>
        </w:rPr>
        <w:t>ączniku II do decyzji</w:t>
      </w:r>
      <w:r w:rsidR="000A6916" w:rsidRPr="000A6916">
        <w:rPr>
          <w:rFonts w:ascii="Times New Roman" w:hAnsi="Times New Roman"/>
          <w:noProof/>
          <w:sz w:val="24"/>
          <w:lang w:val="pl-PL"/>
        </w:rPr>
        <w:t>. W</w:t>
      </w:r>
      <w:r w:rsidR="000A6916">
        <w:rPr>
          <w:rFonts w:ascii="Times New Roman" w:hAnsi="Times New Roman"/>
          <w:noProof/>
          <w:sz w:val="24"/>
          <w:lang w:val="pl-PL"/>
        </w:rPr>
        <w:t> </w:t>
      </w:r>
      <w:r w:rsidR="000A6916" w:rsidRPr="000A6916">
        <w:rPr>
          <w:rFonts w:ascii="Times New Roman" w:hAnsi="Times New Roman"/>
          <w:noProof/>
          <w:sz w:val="24"/>
          <w:lang w:val="pl-PL"/>
        </w:rPr>
        <w:t>tym</w:t>
      </w:r>
      <w:r w:rsidRPr="000A6916">
        <w:rPr>
          <w:rFonts w:ascii="Times New Roman" w:hAnsi="Times New Roman"/>
          <w:noProof/>
          <w:sz w:val="24"/>
          <w:lang w:val="pl-PL"/>
        </w:rPr>
        <w:t xml:space="preserve"> kontekście służby Komisji uznają</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zde</w:t>
      </w:r>
      <w:r w:rsidRPr="000A6916">
        <w:rPr>
          <w:rFonts w:ascii="Times New Roman" w:hAnsi="Times New Roman"/>
          <w:noProof/>
          <w:sz w:val="24"/>
          <w:lang w:val="pl-PL"/>
        </w:rPr>
        <w:t>cydowanie doceniają doskonałą współpracę na etapie prowadzenia przeglądu ze strony władz japońskich,</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zwł</w:t>
      </w:r>
      <w:r w:rsidRPr="000A6916">
        <w:rPr>
          <w:rFonts w:ascii="Times New Roman" w:hAnsi="Times New Roman"/>
          <w:noProof/>
          <w:sz w:val="24"/>
          <w:lang w:val="pl-PL"/>
        </w:rPr>
        <w:t>aszcza ze strony Komisji ds. Ochrony Informacji Osobowych.</w:t>
      </w:r>
    </w:p>
    <w:p w14:paraId="7373D78D" w14:textId="42026D3B" w:rsidR="00A17989" w:rsidRPr="000A6916" w:rsidRDefault="00A17989" w:rsidP="00A17989">
      <w:pPr>
        <w:jc w:val="both"/>
        <w:rPr>
          <w:rFonts w:ascii="Times New Roman" w:hAnsi="Times New Roman" w:cs="Times New Roman"/>
          <w:noProof/>
          <w:sz w:val="24"/>
          <w:lang w:val="pl-PL"/>
        </w:rPr>
      </w:pPr>
      <w:r w:rsidRPr="000A6916">
        <w:rPr>
          <w:rFonts w:ascii="Times New Roman" w:hAnsi="Times New Roman"/>
          <w:noProof/>
          <w:sz w:val="24"/>
          <w:lang w:val="pl-PL"/>
        </w:rPr>
        <w:t>W świetle wyników przeglądu</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zgo</w:t>
      </w:r>
      <w:r w:rsidRPr="000A6916">
        <w:rPr>
          <w:rFonts w:ascii="Times New Roman" w:hAnsi="Times New Roman"/>
          <w:noProof/>
          <w:sz w:val="24"/>
          <w:lang w:val="pl-PL"/>
        </w:rPr>
        <w:t>dnie</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mot</w:t>
      </w:r>
      <w:r w:rsidRPr="000A6916">
        <w:rPr>
          <w:rFonts w:ascii="Times New Roman" w:hAnsi="Times New Roman"/>
          <w:noProof/>
          <w:sz w:val="24"/>
          <w:lang w:val="pl-PL"/>
        </w:rPr>
        <w:t>ywem 181 decyzji stwierdzającej odpowiedni stopień ochrony Komisja uznaje, że</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odn</w:t>
      </w:r>
      <w:r w:rsidRPr="000A6916">
        <w:rPr>
          <w:rFonts w:ascii="Times New Roman" w:hAnsi="Times New Roman"/>
          <w:noProof/>
          <w:sz w:val="24"/>
          <w:lang w:val="pl-PL"/>
        </w:rPr>
        <w:t>iesieniu do przyszłych przeglądów nie jest konieczne utrzymanie dwuletniego cyklu</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tym</w:t>
      </w:r>
      <w:r w:rsidRPr="000A6916">
        <w:rPr>
          <w:rFonts w:ascii="Times New Roman" w:hAnsi="Times New Roman"/>
          <w:noProof/>
          <w:sz w:val="24"/>
          <w:lang w:val="pl-PL"/>
        </w:rPr>
        <w:t xml:space="preserve"> samym można przejść na stosowanie cyklu czteroletniego zgodnie</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art</w:t>
      </w:r>
      <w:r w:rsidRPr="000A6916">
        <w:rPr>
          <w:rFonts w:ascii="Times New Roman" w:hAnsi="Times New Roman"/>
          <w:noProof/>
          <w:sz w:val="24"/>
          <w:lang w:val="pl-PL"/>
        </w:rPr>
        <w:t>.</w:t>
      </w:r>
      <w:r w:rsidR="000A6916" w:rsidRPr="000A6916">
        <w:rPr>
          <w:rFonts w:ascii="Times New Roman" w:hAnsi="Times New Roman"/>
          <w:noProof/>
          <w:sz w:val="24"/>
          <w:lang w:val="pl-PL"/>
        </w:rPr>
        <w:t> </w:t>
      </w:r>
      <w:r w:rsidRPr="000A6916">
        <w:rPr>
          <w:rFonts w:ascii="Times New Roman" w:hAnsi="Times New Roman"/>
          <w:noProof/>
          <w:sz w:val="24"/>
          <w:lang w:val="pl-PL"/>
        </w:rPr>
        <w:t>45 ust.</w:t>
      </w:r>
      <w:r w:rsidR="000A6916" w:rsidRPr="000A6916">
        <w:rPr>
          <w:rFonts w:ascii="Times New Roman" w:hAnsi="Times New Roman"/>
          <w:noProof/>
          <w:sz w:val="24"/>
          <w:lang w:val="pl-PL"/>
        </w:rPr>
        <w:t> </w:t>
      </w:r>
      <w:r w:rsidRPr="000A6916">
        <w:rPr>
          <w:rFonts w:ascii="Times New Roman" w:hAnsi="Times New Roman"/>
          <w:noProof/>
          <w:sz w:val="24"/>
          <w:lang w:val="pl-PL"/>
        </w:rPr>
        <w:t>3 RODO. Komisja przeprowadzi stosowne konsultacje</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tej</w:t>
      </w:r>
      <w:r w:rsidRPr="000A6916">
        <w:rPr>
          <w:rFonts w:ascii="Times New Roman" w:hAnsi="Times New Roman"/>
          <w:noProof/>
          <w:sz w:val="24"/>
          <w:lang w:val="pl-PL"/>
        </w:rPr>
        <w:t xml:space="preserve"> kwestii</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kom</w:t>
      </w:r>
      <w:r w:rsidRPr="000A6916">
        <w:rPr>
          <w:rFonts w:ascii="Times New Roman" w:hAnsi="Times New Roman"/>
          <w:noProof/>
          <w:sz w:val="24"/>
          <w:lang w:val="pl-PL"/>
        </w:rPr>
        <w:t>itetem powołanym na podstawie art.</w:t>
      </w:r>
      <w:r w:rsidR="000A6916" w:rsidRPr="000A6916">
        <w:rPr>
          <w:rFonts w:ascii="Times New Roman" w:hAnsi="Times New Roman"/>
          <w:noProof/>
          <w:sz w:val="24"/>
          <w:lang w:val="pl-PL"/>
        </w:rPr>
        <w:t> </w:t>
      </w:r>
      <w:r w:rsidRPr="000A6916">
        <w:rPr>
          <w:rFonts w:ascii="Times New Roman" w:hAnsi="Times New Roman"/>
          <w:noProof/>
          <w:sz w:val="24"/>
          <w:lang w:val="pl-PL"/>
        </w:rPr>
        <w:t>93 ust.</w:t>
      </w:r>
      <w:r w:rsidR="000A6916" w:rsidRPr="000A6916">
        <w:rPr>
          <w:rFonts w:ascii="Times New Roman" w:hAnsi="Times New Roman"/>
          <w:noProof/>
          <w:sz w:val="24"/>
          <w:lang w:val="pl-PL"/>
        </w:rPr>
        <w:t> </w:t>
      </w:r>
      <w:r w:rsidRPr="000A6916">
        <w:rPr>
          <w:rFonts w:ascii="Times New Roman" w:hAnsi="Times New Roman"/>
          <w:noProof/>
          <w:sz w:val="24"/>
          <w:lang w:val="pl-PL"/>
        </w:rPr>
        <w:t>1 RODO</w:t>
      </w:r>
      <w:r w:rsidRPr="000A6916">
        <w:rPr>
          <w:rStyle w:val="FootnoteReference"/>
          <w:rFonts w:ascii="Times New Roman" w:hAnsi="Times New Roman" w:cs="Times New Roman"/>
          <w:noProof/>
          <w:sz w:val="24"/>
          <w:lang w:val="pl-PL"/>
        </w:rPr>
        <w:footnoteReference w:id="26"/>
      </w:r>
      <w:r w:rsidRPr="000A6916">
        <w:rPr>
          <w:rFonts w:ascii="Times New Roman" w:hAnsi="Times New Roman"/>
          <w:noProof/>
          <w:sz w:val="24"/>
          <w:lang w:val="pl-PL"/>
        </w:rPr>
        <w:t>.</w:t>
      </w:r>
    </w:p>
    <w:p w14:paraId="3E212679" w14:textId="5E793174" w:rsidR="00A17989" w:rsidRPr="000A6916" w:rsidRDefault="00A17989" w:rsidP="002A0354">
      <w:pPr>
        <w:jc w:val="both"/>
        <w:rPr>
          <w:rFonts w:ascii="Times New Roman" w:hAnsi="Times New Roman" w:cs="Times New Roman"/>
          <w:noProof/>
          <w:sz w:val="24"/>
          <w:lang w:val="pl-PL"/>
        </w:rPr>
      </w:pPr>
      <w:r w:rsidRPr="000A6916">
        <w:rPr>
          <w:rFonts w:ascii="Times New Roman" w:hAnsi="Times New Roman"/>
          <w:noProof/>
          <w:sz w:val="24"/>
          <w:lang w:val="pl-PL"/>
        </w:rPr>
        <w:t>Jednocześnie umocnienie niektórych aspektów japońskich ram może przyczynić się do dalszego zwiększenia zabezpieczeń określonych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ust</w:t>
      </w:r>
      <w:r w:rsidRPr="000A6916">
        <w:rPr>
          <w:rFonts w:ascii="Times New Roman" w:hAnsi="Times New Roman"/>
          <w:noProof/>
          <w:sz w:val="24"/>
          <w:lang w:val="pl-PL"/>
        </w:rPr>
        <w:t>awie</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episach uzupełniających</w:t>
      </w:r>
      <w:r w:rsidR="000A6916" w:rsidRPr="000A6916">
        <w:rPr>
          <w:rFonts w:ascii="Times New Roman" w:hAnsi="Times New Roman"/>
          <w:noProof/>
          <w:sz w:val="24"/>
          <w:lang w:val="pl-PL"/>
        </w:rPr>
        <w:t>. W</w:t>
      </w:r>
      <w:r w:rsidR="000A6916">
        <w:rPr>
          <w:rFonts w:ascii="Times New Roman" w:hAnsi="Times New Roman"/>
          <w:noProof/>
          <w:sz w:val="24"/>
          <w:lang w:val="pl-PL"/>
        </w:rPr>
        <w:t> </w:t>
      </w:r>
      <w:r w:rsidR="000A6916" w:rsidRPr="000A6916">
        <w:rPr>
          <w:rFonts w:ascii="Times New Roman" w:hAnsi="Times New Roman"/>
          <w:noProof/>
          <w:sz w:val="24"/>
          <w:lang w:val="pl-PL"/>
        </w:rPr>
        <w:t>tym</w:t>
      </w:r>
      <w:r w:rsidRPr="000A6916">
        <w:rPr>
          <w:rFonts w:ascii="Times New Roman" w:hAnsi="Times New Roman"/>
          <w:noProof/>
          <w:sz w:val="24"/>
          <w:lang w:val="pl-PL"/>
        </w:rPr>
        <w:t xml:space="preserve"> celu Komisja przedstawia następujące zalecenia:</w:t>
      </w:r>
    </w:p>
    <w:p w14:paraId="18CDB951" w14:textId="5E00CE56" w:rsidR="00A17989" w:rsidRPr="000A6916" w:rsidRDefault="00A17989" w:rsidP="002A0354">
      <w:pPr>
        <w:numPr>
          <w:ilvl w:val="0"/>
          <w:numId w:val="2"/>
        </w:numPr>
        <w:ind w:left="714" w:hanging="357"/>
        <w:jc w:val="both"/>
        <w:rPr>
          <w:rFonts w:ascii="Times New Roman" w:hAnsi="Times New Roman" w:cs="Times New Roman"/>
          <w:noProof/>
          <w:sz w:val="24"/>
          <w:lang w:val="pl-PL"/>
        </w:rPr>
      </w:pPr>
      <w:r w:rsidRPr="000A6916">
        <w:rPr>
          <w:rFonts w:ascii="Times New Roman" w:hAnsi="Times New Roman"/>
          <w:noProof/>
          <w:sz w:val="24"/>
          <w:lang w:val="pl-PL"/>
        </w:rPr>
        <w:t>Komisja</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zad</w:t>
      </w:r>
      <w:r w:rsidRPr="000A6916">
        <w:rPr>
          <w:rFonts w:ascii="Times New Roman" w:hAnsi="Times New Roman"/>
          <w:noProof/>
          <w:sz w:val="24"/>
          <w:lang w:val="pl-PL"/>
        </w:rPr>
        <w:t>owoleniem przyjmuje plany prowadzenia przez Komisję ds. Ochrony Informacji Osobowych kontroli wyrywkowych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cel</w:t>
      </w:r>
      <w:r w:rsidRPr="000A6916">
        <w:rPr>
          <w:rFonts w:ascii="Times New Roman" w:hAnsi="Times New Roman"/>
          <w:noProof/>
          <w:sz w:val="24"/>
          <w:lang w:val="pl-PL"/>
        </w:rPr>
        <w:t>u zapewnienia przestrzegania przepisów uzupełniających. Uważa, że takie kontrole wyrywkowe miałyby istotne znaczenie</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kon</w:t>
      </w:r>
      <w:r w:rsidRPr="000A6916">
        <w:rPr>
          <w:rFonts w:ascii="Times New Roman" w:hAnsi="Times New Roman"/>
          <w:noProof/>
          <w:sz w:val="24"/>
          <w:lang w:val="pl-PL"/>
        </w:rPr>
        <w:t>tekście zapewnienia, aby wykrywano</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eli</w:t>
      </w:r>
      <w:r w:rsidRPr="000A6916">
        <w:rPr>
          <w:rFonts w:ascii="Times New Roman" w:hAnsi="Times New Roman"/>
          <w:noProof/>
          <w:sz w:val="24"/>
          <w:lang w:val="pl-PL"/>
        </w:rPr>
        <w:t xml:space="preserve">minowano (ewentualne) naruszenia przepisów uzupełniających, dzięki czemu zagwarantowano by skuteczne przestrzeganie tych przepisów. </w:t>
      </w:r>
    </w:p>
    <w:p w14:paraId="274B053C" w14:textId="4C150CEF" w:rsidR="00A17989" w:rsidRPr="000A6916" w:rsidRDefault="00A17989" w:rsidP="002A0354">
      <w:pPr>
        <w:numPr>
          <w:ilvl w:val="0"/>
          <w:numId w:val="2"/>
        </w:numPr>
        <w:ind w:left="714" w:hanging="357"/>
        <w:jc w:val="both"/>
        <w:rPr>
          <w:rFonts w:ascii="Times New Roman" w:hAnsi="Times New Roman" w:cs="Times New Roman"/>
          <w:noProof/>
          <w:sz w:val="24"/>
          <w:lang w:val="pl-PL"/>
        </w:rPr>
      </w:pPr>
      <w:r w:rsidRPr="000A6916">
        <w:rPr>
          <w:rFonts w:ascii="Times New Roman" w:hAnsi="Times New Roman"/>
          <w:noProof/>
          <w:sz w:val="24"/>
          <w:lang w:val="pl-PL"/>
        </w:rPr>
        <w:t>Komisja</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zad</w:t>
      </w:r>
      <w:r w:rsidRPr="000A6916">
        <w:rPr>
          <w:rFonts w:ascii="Times New Roman" w:hAnsi="Times New Roman"/>
          <w:noProof/>
          <w:sz w:val="24"/>
          <w:lang w:val="pl-PL"/>
        </w:rPr>
        <w:t>owoleniem przyjmuje fakt, iż Komisja ds. Ochrony Informacji Osobowych opublikowała zaktualizowane wytyczne dotyczące międzynarodowego przekazywania danych, gdyż sprawią one, że przepisy ustawy</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informacji osobowych dotyczące tej kwestii będą bardziej dostępne</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yjazne dla użytkowników</w:t>
      </w:r>
      <w:r w:rsidR="000A6916" w:rsidRPr="000A6916">
        <w:rPr>
          <w:rFonts w:ascii="Times New Roman" w:hAnsi="Times New Roman"/>
          <w:noProof/>
          <w:sz w:val="24"/>
          <w:lang w:val="pl-PL"/>
        </w:rPr>
        <w:t>. W</w:t>
      </w:r>
      <w:r w:rsidR="000A6916">
        <w:rPr>
          <w:rFonts w:ascii="Times New Roman" w:hAnsi="Times New Roman"/>
          <w:noProof/>
          <w:sz w:val="24"/>
          <w:lang w:val="pl-PL"/>
        </w:rPr>
        <w:t> </w:t>
      </w:r>
      <w:r w:rsidR="000A6916" w:rsidRPr="000A6916">
        <w:rPr>
          <w:rFonts w:ascii="Times New Roman" w:hAnsi="Times New Roman"/>
          <w:noProof/>
          <w:sz w:val="24"/>
          <w:lang w:val="pl-PL"/>
        </w:rPr>
        <w:t>tyc</w:t>
      </w:r>
      <w:r w:rsidRPr="000A6916">
        <w:rPr>
          <w:rFonts w:ascii="Times New Roman" w:hAnsi="Times New Roman"/>
          <w:noProof/>
          <w:sz w:val="24"/>
          <w:lang w:val="pl-PL"/>
        </w:rPr>
        <w:t>h (lub innych) wytycznych należy również</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raz</w:t>
      </w:r>
      <w:r w:rsidRPr="000A6916">
        <w:rPr>
          <w:rFonts w:ascii="Times New Roman" w:hAnsi="Times New Roman"/>
          <w:noProof/>
          <w:sz w:val="24"/>
          <w:lang w:val="pl-PL"/>
        </w:rPr>
        <w:t>ie potrzeby wyjaśnić konkretne wymogi wynikające</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episów uzupełniających,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tym</w:t>
      </w:r>
      <w:r w:rsidRPr="000A6916">
        <w:rPr>
          <w:rFonts w:ascii="Times New Roman" w:hAnsi="Times New Roman"/>
          <w:noProof/>
          <w:sz w:val="24"/>
          <w:lang w:val="pl-PL"/>
        </w:rPr>
        <w:t xml:space="preserve"> wyłączenie certyfikacyjnego systemu CBPR APEC</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zak</w:t>
      </w:r>
      <w:r w:rsidRPr="000A6916">
        <w:rPr>
          <w:rFonts w:ascii="Times New Roman" w:hAnsi="Times New Roman"/>
          <w:noProof/>
          <w:sz w:val="24"/>
          <w:lang w:val="pl-PL"/>
        </w:rPr>
        <w:t xml:space="preserve">resie dalszego przekazywania danych osobowych pierwotnie otrzymanych z UE. </w:t>
      </w:r>
    </w:p>
    <w:p w14:paraId="04149A1B" w14:textId="17F70AF9" w:rsidR="00A17989" w:rsidRPr="000A6916" w:rsidRDefault="00A17989" w:rsidP="002A0354">
      <w:pPr>
        <w:numPr>
          <w:ilvl w:val="0"/>
          <w:numId w:val="2"/>
        </w:numPr>
        <w:ind w:left="714" w:hanging="357"/>
        <w:jc w:val="both"/>
        <w:rPr>
          <w:rFonts w:ascii="Times New Roman" w:hAnsi="Times New Roman" w:cs="Times New Roman"/>
          <w:noProof/>
          <w:sz w:val="24"/>
          <w:lang w:val="pl-PL"/>
        </w:rPr>
      </w:pPr>
      <w:r w:rsidRPr="000A6916">
        <w:rPr>
          <w:rFonts w:ascii="Times New Roman" w:hAnsi="Times New Roman"/>
          <w:noProof/>
          <w:sz w:val="24"/>
          <w:lang w:val="pl-PL"/>
        </w:rPr>
        <w:t>W toku przeglądu omówiono,</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jak</w:t>
      </w:r>
      <w:r w:rsidRPr="000A6916">
        <w:rPr>
          <w:rFonts w:ascii="Times New Roman" w:hAnsi="Times New Roman"/>
          <w:noProof/>
          <w:sz w:val="24"/>
          <w:lang w:val="pl-PL"/>
        </w:rPr>
        <w:t>i sposób można zwiększyć dostępność dla cudzoziemców zapewnionej przez Komisję ds. Ochrony Informacji Osobowych linii dotyczącej zapytań/mediacji, za pomocą której osoby fizyczne mogą zgłaszać pytania</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ska</w:t>
      </w:r>
      <w:r w:rsidRPr="000A6916">
        <w:rPr>
          <w:rFonts w:ascii="Times New Roman" w:hAnsi="Times New Roman"/>
          <w:noProof/>
          <w:sz w:val="24"/>
          <w:lang w:val="pl-PL"/>
        </w:rPr>
        <w:t>rgi</w:t>
      </w:r>
      <w:r w:rsidR="000A6916" w:rsidRPr="000A6916">
        <w:rPr>
          <w:rFonts w:ascii="Times New Roman" w:hAnsi="Times New Roman"/>
          <w:noProof/>
          <w:sz w:val="24"/>
          <w:lang w:val="pl-PL"/>
        </w:rPr>
        <w:t>. W</w:t>
      </w:r>
      <w:r w:rsidR="000A6916">
        <w:rPr>
          <w:rFonts w:ascii="Times New Roman" w:hAnsi="Times New Roman"/>
          <w:noProof/>
          <w:sz w:val="24"/>
          <w:lang w:val="pl-PL"/>
        </w:rPr>
        <w:t> </w:t>
      </w:r>
      <w:r w:rsidR="000A6916" w:rsidRPr="000A6916">
        <w:rPr>
          <w:rFonts w:ascii="Times New Roman" w:hAnsi="Times New Roman"/>
          <w:noProof/>
          <w:sz w:val="24"/>
          <w:lang w:val="pl-PL"/>
        </w:rPr>
        <w:t>tym</w:t>
      </w:r>
      <w:r w:rsidRPr="000A6916">
        <w:rPr>
          <w:rFonts w:ascii="Times New Roman" w:hAnsi="Times New Roman"/>
          <w:noProof/>
          <w:sz w:val="24"/>
          <w:lang w:val="pl-PL"/>
        </w:rPr>
        <w:t xml:space="preserve"> kontekście na stronie internetowej poświęconej tej linii należy wyjaśnić, że zasadniczo dostępna jest pomoc</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jęz</w:t>
      </w:r>
      <w:r w:rsidRPr="000A6916">
        <w:rPr>
          <w:rFonts w:ascii="Times New Roman" w:hAnsi="Times New Roman"/>
          <w:noProof/>
          <w:sz w:val="24"/>
          <w:lang w:val="pl-PL"/>
        </w:rPr>
        <w:t>yku angielskim.</w:t>
      </w:r>
    </w:p>
    <w:p w14:paraId="25689FFA" w14:textId="157A87A4" w:rsidR="00A17989" w:rsidRPr="000A6916" w:rsidRDefault="00A17989" w:rsidP="00A17989">
      <w:pPr>
        <w:jc w:val="both"/>
        <w:rPr>
          <w:rFonts w:ascii="Times New Roman" w:hAnsi="Times New Roman" w:cs="Times New Roman"/>
          <w:noProof/>
          <w:sz w:val="24"/>
          <w:lang w:val="pl-PL"/>
        </w:rPr>
      </w:pPr>
      <w:r w:rsidRPr="000A6916">
        <w:rPr>
          <w:rFonts w:ascii="Times New Roman" w:hAnsi="Times New Roman"/>
          <w:noProof/>
          <w:sz w:val="24"/>
          <w:lang w:val="pl-PL"/>
        </w:rPr>
        <w:t>W toku przeglądu zdołano również zidentyfikować obszary,</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któ</w:t>
      </w:r>
      <w:r w:rsidRPr="000A6916">
        <w:rPr>
          <w:rFonts w:ascii="Times New Roman" w:hAnsi="Times New Roman"/>
          <w:noProof/>
          <w:sz w:val="24"/>
          <w:lang w:val="pl-PL"/>
        </w:rPr>
        <w:t>rych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yszłości można by podjąć współpracę. Jak już wskazano, Komisja ds. Ochrony Informacji Osobowych obecnie nie zapewnia wytycznych dotyczących zalecanej treści (w zakresie zabezpieczeń) „równoważnych środków” stosowanych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odn</w:t>
      </w:r>
      <w:r w:rsidRPr="000A6916">
        <w:rPr>
          <w:rFonts w:ascii="Times New Roman" w:hAnsi="Times New Roman"/>
          <w:noProof/>
          <w:sz w:val="24"/>
          <w:lang w:val="pl-PL"/>
        </w:rPr>
        <w:t>iesieniu do międzynarodowego przekazywania danych, czy to</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for</w:t>
      </w:r>
      <w:r w:rsidRPr="000A6916">
        <w:rPr>
          <w:rFonts w:ascii="Times New Roman" w:hAnsi="Times New Roman"/>
          <w:noProof/>
          <w:sz w:val="24"/>
          <w:lang w:val="pl-PL"/>
        </w:rPr>
        <w:t>mie wytycznych, czy też wzoru umów</w:t>
      </w:r>
      <w:r w:rsidR="000A6916" w:rsidRPr="000A6916">
        <w:rPr>
          <w:rFonts w:ascii="Times New Roman" w:hAnsi="Times New Roman"/>
          <w:noProof/>
          <w:sz w:val="24"/>
          <w:lang w:val="pl-PL"/>
        </w:rPr>
        <w:t xml:space="preserve"> o</w:t>
      </w:r>
      <w:r w:rsidR="000A6916">
        <w:rPr>
          <w:rFonts w:ascii="Times New Roman" w:hAnsi="Times New Roman"/>
          <w:noProof/>
          <w:sz w:val="24"/>
          <w:lang w:val="pl-PL"/>
        </w:rPr>
        <w:t> </w:t>
      </w:r>
      <w:r w:rsidR="000A6916" w:rsidRPr="000A6916">
        <w:rPr>
          <w:rFonts w:ascii="Times New Roman" w:hAnsi="Times New Roman"/>
          <w:noProof/>
          <w:sz w:val="24"/>
          <w:lang w:val="pl-PL"/>
        </w:rPr>
        <w:t>och</w:t>
      </w:r>
      <w:r w:rsidRPr="000A6916">
        <w:rPr>
          <w:rFonts w:ascii="Times New Roman" w:hAnsi="Times New Roman"/>
          <w:noProof/>
          <w:sz w:val="24"/>
          <w:lang w:val="pl-PL"/>
        </w:rPr>
        <w:t>ronie danych. Ze względu na rosnące znaczenie klauzul wzorcowych</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ich</w:t>
      </w:r>
      <w:r w:rsidRPr="000A6916">
        <w:rPr>
          <w:rFonts w:ascii="Times New Roman" w:hAnsi="Times New Roman"/>
          <w:noProof/>
          <w:sz w:val="24"/>
          <w:lang w:val="pl-PL"/>
        </w:rPr>
        <w:t xml:space="preserve"> możliwe wykorzystanie jako globalnego narzędzia do przekazywania danych – co przyznano na przykład na forum grupy G-7</w:t>
      </w:r>
      <w:r w:rsidRPr="000A6916">
        <w:rPr>
          <w:rStyle w:val="FootnoteReference"/>
          <w:rFonts w:ascii="Times New Roman" w:hAnsi="Times New Roman" w:cs="Times New Roman"/>
          <w:noProof/>
          <w:sz w:val="24"/>
          <w:lang w:val="pl-PL"/>
        </w:rPr>
        <w:footnoteReference w:id="27"/>
      </w:r>
      <w:r w:rsidRPr="000A6916">
        <w:rPr>
          <w:rFonts w:ascii="Times New Roman" w:hAnsi="Times New Roman"/>
          <w:noProof/>
          <w:sz w:val="24"/>
          <w:lang w:val="pl-PL"/>
        </w:rPr>
        <w:t xml:space="preserve"> i OECD</w:t>
      </w:r>
      <w:r w:rsidRPr="000A6916">
        <w:rPr>
          <w:rStyle w:val="FootnoteReference"/>
          <w:rFonts w:ascii="Times New Roman" w:hAnsi="Times New Roman" w:cs="Times New Roman"/>
          <w:noProof/>
          <w:sz w:val="24"/>
          <w:lang w:val="pl-PL"/>
        </w:rPr>
        <w:footnoteReference w:id="28"/>
      </w:r>
      <w:r w:rsidRPr="000A6916">
        <w:rPr>
          <w:rFonts w:ascii="Times New Roman" w:hAnsi="Times New Roman"/>
          <w:noProof/>
          <w:sz w:val="24"/>
          <w:lang w:val="pl-PL"/>
        </w:rPr>
        <w:t xml:space="preserve"> – Komisja wyraziła zainteresowanie przyszłą współpracą</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Jap</w:t>
      </w:r>
      <w:r w:rsidRPr="000A6916">
        <w:rPr>
          <w:rFonts w:ascii="Times New Roman" w:hAnsi="Times New Roman"/>
          <w:noProof/>
          <w:sz w:val="24"/>
          <w:lang w:val="pl-PL"/>
        </w:rPr>
        <w:t>onią</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cel</w:t>
      </w:r>
      <w:r w:rsidRPr="000A6916">
        <w:rPr>
          <w:rFonts w:ascii="Times New Roman" w:hAnsi="Times New Roman"/>
          <w:noProof/>
          <w:sz w:val="24"/>
          <w:lang w:val="pl-PL"/>
        </w:rPr>
        <w:t>u opracowania takich klauzul. Kolejnym obszarem, który Komisja chciałaby rozważyć we współpracy</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Kom</w:t>
      </w:r>
      <w:r w:rsidRPr="000A6916">
        <w:rPr>
          <w:rFonts w:ascii="Times New Roman" w:hAnsi="Times New Roman"/>
          <w:noProof/>
          <w:sz w:val="24"/>
          <w:lang w:val="pl-PL"/>
        </w:rPr>
        <w:t>isją ds. Ochrony Informacji Osobowych, jest rozszerzenie zakresu stosowania decyzji stwierdzającej odpowiedni stopień ochrony tak, aby wykraczała ona poza przekazywanie danych między podmiotami handlowymi.</w:t>
      </w:r>
    </w:p>
    <w:p w14:paraId="39CE0D11" w14:textId="597AE311" w:rsidR="00A17989" w:rsidRPr="000A6916" w:rsidRDefault="00A17989" w:rsidP="00A17989">
      <w:pPr>
        <w:jc w:val="both"/>
        <w:rPr>
          <w:rFonts w:ascii="Times New Roman" w:hAnsi="Times New Roman" w:cs="Times New Roman"/>
          <w:noProof/>
          <w:sz w:val="24"/>
          <w:lang w:val="pl-PL"/>
        </w:rPr>
      </w:pPr>
      <w:r w:rsidRPr="000A6916">
        <w:rPr>
          <w:rFonts w:ascii="Times New Roman" w:hAnsi="Times New Roman"/>
          <w:noProof/>
          <w:sz w:val="24"/>
          <w:lang w:val="pl-PL"/>
        </w:rPr>
        <w:t>Komisja nadal będzie ściśle monitorować japońskie ramy ochrony danych</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rze</w:t>
      </w:r>
      <w:r w:rsidRPr="000A6916">
        <w:rPr>
          <w:rFonts w:ascii="Times New Roman" w:hAnsi="Times New Roman"/>
          <w:noProof/>
          <w:sz w:val="24"/>
          <w:lang w:val="pl-PL"/>
        </w:rPr>
        <w:t>czywiste praktyki</w:t>
      </w:r>
      <w:r w:rsidR="000A6916" w:rsidRPr="000A6916">
        <w:rPr>
          <w:rFonts w:ascii="Times New Roman" w:hAnsi="Times New Roman"/>
          <w:noProof/>
          <w:sz w:val="24"/>
          <w:lang w:val="pl-PL"/>
        </w:rPr>
        <w:t>. W</w:t>
      </w:r>
      <w:r w:rsidR="000A6916">
        <w:rPr>
          <w:rFonts w:ascii="Times New Roman" w:hAnsi="Times New Roman"/>
          <w:noProof/>
          <w:sz w:val="24"/>
          <w:lang w:val="pl-PL"/>
        </w:rPr>
        <w:t> </w:t>
      </w:r>
      <w:r w:rsidR="000A6916" w:rsidRPr="000A6916">
        <w:rPr>
          <w:rFonts w:ascii="Times New Roman" w:hAnsi="Times New Roman"/>
          <w:noProof/>
          <w:sz w:val="24"/>
          <w:lang w:val="pl-PL"/>
        </w:rPr>
        <w:t>tym</w:t>
      </w:r>
      <w:r w:rsidRPr="000A6916">
        <w:rPr>
          <w:rFonts w:ascii="Times New Roman" w:hAnsi="Times New Roman"/>
          <w:noProof/>
          <w:sz w:val="24"/>
          <w:lang w:val="pl-PL"/>
        </w:rPr>
        <w:t xml:space="preserve"> zakresie Komisja oczekuje dalszej wymiany informacji</w:t>
      </w:r>
      <w:r w:rsidR="000A6916" w:rsidRPr="000A6916">
        <w:rPr>
          <w:rFonts w:ascii="Times New Roman" w:hAnsi="Times New Roman"/>
          <w:noProof/>
          <w:sz w:val="24"/>
          <w:lang w:val="pl-PL"/>
        </w:rPr>
        <w:t xml:space="preserve"> z</w:t>
      </w:r>
      <w:r w:rsidR="000A6916">
        <w:rPr>
          <w:rFonts w:ascii="Times New Roman" w:hAnsi="Times New Roman"/>
          <w:noProof/>
          <w:sz w:val="24"/>
          <w:lang w:val="pl-PL"/>
        </w:rPr>
        <w:t> </w:t>
      </w:r>
      <w:r w:rsidR="000A6916" w:rsidRPr="000A6916">
        <w:rPr>
          <w:rFonts w:ascii="Times New Roman" w:hAnsi="Times New Roman"/>
          <w:noProof/>
          <w:sz w:val="24"/>
          <w:lang w:val="pl-PL"/>
        </w:rPr>
        <w:t>wła</w:t>
      </w:r>
      <w:r w:rsidRPr="000A6916">
        <w:rPr>
          <w:rFonts w:ascii="Times New Roman" w:hAnsi="Times New Roman"/>
          <w:noProof/>
          <w:sz w:val="24"/>
          <w:lang w:val="pl-PL"/>
        </w:rPr>
        <w:t>dzami japońskimi</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kwe</w:t>
      </w:r>
      <w:r w:rsidRPr="000A6916">
        <w:rPr>
          <w:rFonts w:ascii="Times New Roman" w:hAnsi="Times New Roman"/>
          <w:noProof/>
          <w:sz w:val="24"/>
          <w:lang w:val="pl-PL"/>
        </w:rPr>
        <w:t>stii zmian istotnych</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kon</w:t>
      </w:r>
      <w:r w:rsidRPr="000A6916">
        <w:rPr>
          <w:rFonts w:ascii="Times New Roman" w:hAnsi="Times New Roman"/>
          <w:noProof/>
          <w:sz w:val="24"/>
          <w:lang w:val="pl-PL"/>
        </w:rPr>
        <w:t>tekście decyzji</w:t>
      </w:r>
      <w:r w:rsidRPr="000A6916">
        <w:rPr>
          <w:rStyle w:val="FootnoteReference"/>
          <w:rFonts w:ascii="Times New Roman" w:hAnsi="Times New Roman" w:cs="Times New Roman"/>
          <w:noProof/>
          <w:sz w:val="24"/>
          <w:lang w:val="pl-PL"/>
        </w:rPr>
        <w:footnoteReference w:id="29"/>
      </w:r>
      <w:r w:rsidRPr="000A6916">
        <w:rPr>
          <w:rFonts w:ascii="Times New Roman" w:hAnsi="Times New Roman"/>
          <w:noProof/>
          <w:sz w:val="24"/>
          <w:lang w:val="pl-PL"/>
        </w:rPr>
        <w:t>,</w:t>
      </w:r>
      <w:r w:rsidR="000A6916" w:rsidRPr="000A6916">
        <w:rPr>
          <w:rFonts w:ascii="Times New Roman" w:hAnsi="Times New Roman"/>
          <w:noProof/>
          <w:sz w:val="24"/>
          <w:lang w:val="pl-PL"/>
        </w:rPr>
        <w:t xml:space="preserve"> a</w:t>
      </w:r>
      <w:r w:rsidR="000A6916">
        <w:rPr>
          <w:rFonts w:ascii="Times New Roman" w:hAnsi="Times New Roman"/>
          <w:noProof/>
          <w:sz w:val="24"/>
          <w:lang w:val="pl-PL"/>
        </w:rPr>
        <w:t> </w:t>
      </w:r>
      <w:r w:rsidR="000A6916" w:rsidRPr="000A6916">
        <w:rPr>
          <w:rFonts w:ascii="Times New Roman" w:hAnsi="Times New Roman"/>
          <w:noProof/>
          <w:sz w:val="24"/>
          <w:lang w:val="pl-PL"/>
        </w:rPr>
        <w:t>tak</w:t>
      </w:r>
      <w:r w:rsidRPr="000A6916">
        <w:rPr>
          <w:rFonts w:ascii="Times New Roman" w:hAnsi="Times New Roman"/>
          <w:noProof/>
          <w:sz w:val="24"/>
          <w:lang w:val="pl-PL"/>
        </w:rPr>
        <w:t>że dalszego zacieśnienia współpracy na szczeblu międzynarodowym</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cza</w:t>
      </w:r>
      <w:r w:rsidRPr="000A6916">
        <w:rPr>
          <w:rFonts w:ascii="Times New Roman" w:hAnsi="Times New Roman"/>
          <w:noProof/>
          <w:sz w:val="24"/>
          <w:lang w:val="pl-PL"/>
        </w:rPr>
        <w:t>sie,</w:t>
      </w:r>
      <w:r w:rsidR="000A6916" w:rsidRPr="000A6916">
        <w:rPr>
          <w:rFonts w:ascii="Times New Roman" w:hAnsi="Times New Roman"/>
          <w:noProof/>
          <w:sz w:val="24"/>
          <w:lang w:val="pl-PL"/>
        </w:rPr>
        <w:t xml:space="preserve"> w</w:t>
      </w:r>
      <w:r w:rsidR="000A6916">
        <w:rPr>
          <w:rFonts w:ascii="Times New Roman" w:hAnsi="Times New Roman"/>
          <w:noProof/>
          <w:sz w:val="24"/>
          <w:lang w:val="pl-PL"/>
        </w:rPr>
        <w:t> </w:t>
      </w:r>
      <w:r w:rsidR="000A6916" w:rsidRPr="000A6916">
        <w:rPr>
          <w:rFonts w:ascii="Times New Roman" w:hAnsi="Times New Roman"/>
          <w:noProof/>
          <w:sz w:val="24"/>
          <w:lang w:val="pl-PL"/>
        </w:rPr>
        <w:t>któ</w:t>
      </w:r>
      <w:r w:rsidRPr="000A6916">
        <w:rPr>
          <w:rFonts w:ascii="Times New Roman" w:hAnsi="Times New Roman"/>
          <w:noProof/>
          <w:sz w:val="24"/>
          <w:lang w:val="pl-PL"/>
        </w:rPr>
        <w:t>rym istnieje coraz większe zapotrzebowanie na światowe normy dotyczące prywatności</w:t>
      </w:r>
      <w:r w:rsidR="000A6916" w:rsidRPr="000A6916">
        <w:rPr>
          <w:rFonts w:ascii="Times New Roman" w:hAnsi="Times New Roman"/>
          <w:noProof/>
          <w:sz w:val="24"/>
          <w:lang w:val="pl-PL"/>
        </w:rPr>
        <w:t xml:space="preserve"> i</w:t>
      </w:r>
      <w:r w:rsidR="000A6916">
        <w:rPr>
          <w:rFonts w:ascii="Times New Roman" w:hAnsi="Times New Roman"/>
          <w:noProof/>
          <w:sz w:val="24"/>
          <w:lang w:val="pl-PL"/>
        </w:rPr>
        <w:t> </w:t>
      </w:r>
      <w:r w:rsidR="000A6916" w:rsidRPr="000A6916">
        <w:rPr>
          <w:rFonts w:ascii="Times New Roman" w:hAnsi="Times New Roman"/>
          <w:noProof/>
          <w:sz w:val="24"/>
          <w:lang w:val="pl-PL"/>
        </w:rPr>
        <w:t>prz</w:t>
      </w:r>
      <w:r w:rsidRPr="000A6916">
        <w:rPr>
          <w:rFonts w:ascii="Times New Roman" w:hAnsi="Times New Roman"/>
          <w:noProof/>
          <w:sz w:val="24"/>
          <w:lang w:val="pl-PL"/>
        </w:rPr>
        <w:t xml:space="preserve">epływu danych. </w:t>
      </w:r>
    </w:p>
    <w:p w14:paraId="27E9A0C4" w14:textId="77777777" w:rsidR="00A66C72" w:rsidRPr="000A6916" w:rsidRDefault="00A66C72" w:rsidP="00A66C72">
      <w:pPr>
        <w:pStyle w:val="ListParagraph"/>
        <w:ind w:left="360"/>
        <w:rPr>
          <w:rFonts w:ascii="Times New Roman" w:hAnsi="Times New Roman" w:cs="Times New Roman"/>
          <w:b/>
          <w:noProof/>
          <w:lang w:val="pl-PL"/>
        </w:rPr>
      </w:pPr>
    </w:p>
    <w:sectPr w:rsidR="00A66C72" w:rsidRPr="000A6916" w:rsidSect="005902F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24B1" w14:textId="77777777" w:rsidR="009629C6" w:rsidRPr="000A6916" w:rsidRDefault="009629C6" w:rsidP="00A66C72">
      <w:pPr>
        <w:spacing w:after="0" w:line="240" w:lineRule="auto"/>
        <w:rPr>
          <w:lang w:val="pl-PL"/>
        </w:rPr>
      </w:pPr>
      <w:r w:rsidRPr="000A6916">
        <w:rPr>
          <w:lang w:val="pl-PL"/>
        </w:rPr>
        <w:separator/>
      </w:r>
    </w:p>
  </w:endnote>
  <w:endnote w:type="continuationSeparator" w:id="0">
    <w:p w14:paraId="0A1A8C87" w14:textId="77777777" w:rsidR="009629C6" w:rsidRPr="000A6916" w:rsidRDefault="009629C6" w:rsidP="00A66C72">
      <w:pPr>
        <w:spacing w:after="0" w:line="240" w:lineRule="auto"/>
        <w:rPr>
          <w:lang w:val="pl-PL"/>
        </w:rPr>
      </w:pPr>
      <w:r w:rsidRPr="000A6916">
        <w:rPr>
          <w:lang w:val="p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524E" w14:textId="56CAC884" w:rsidR="000A6916" w:rsidRPr="00661798" w:rsidRDefault="000A6916" w:rsidP="00661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97A9E" w14:textId="7A549AAC" w:rsidR="000A6916" w:rsidRPr="00661798" w:rsidRDefault="00661798" w:rsidP="00661798">
    <w:pPr>
      <w:pStyle w:val="FooterCoverPage"/>
      <w:rPr>
        <w:rFonts w:ascii="Arial" w:hAnsi="Arial" w:cs="Arial"/>
        <w:b/>
        <w:sz w:val="48"/>
      </w:rPr>
    </w:pPr>
    <w:r w:rsidRPr="00661798">
      <w:rPr>
        <w:rFonts w:ascii="Arial" w:hAnsi="Arial" w:cs="Arial"/>
        <w:b/>
        <w:sz w:val="48"/>
      </w:rPr>
      <w:t>PL</w:t>
    </w:r>
    <w:r w:rsidRPr="00661798">
      <w:rPr>
        <w:rFonts w:ascii="Arial" w:hAnsi="Arial" w:cs="Arial"/>
        <w:b/>
        <w:sz w:val="48"/>
      </w:rPr>
      <w:tab/>
    </w:r>
    <w:r w:rsidRPr="00661798">
      <w:rPr>
        <w:rFonts w:ascii="Arial" w:hAnsi="Arial" w:cs="Arial"/>
        <w:b/>
        <w:sz w:val="48"/>
      </w:rPr>
      <w:tab/>
    </w:r>
    <w:r w:rsidRPr="00661798">
      <w:tab/>
    </w:r>
    <w:r w:rsidRPr="00661798">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0ACD" w14:textId="77777777" w:rsidR="00661798" w:rsidRPr="00661798" w:rsidRDefault="00661798" w:rsidP="0066179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01F6" w14:textId="77777777" w:rsidR="004A3516" w:rsidRDefault="004A3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786421"/>
      <w:docPartObj>
        <w:docPartGallery w:val="Page Numbers (Bottom of Page)"/>
        <w:docPartUnique/>
      </w:docPartObj>
    </w:sdtPr>
    <w:sdtEndPr/>
    <w:sdtContent>
      <w:p w14:paraId="17D854C4" w14:textId="475384E5" w:rsidR="004A3516" w:rsidRDefault="004A3516">
        <w:pPr>
          <w:pStyle w:val="Footer"/>
          <w:jc w:val="center"/>
        </w:pPr>
        <w:r>
          <w:fldChar w:fldCharType="begin"/>
        </w:r>
        <w:r>
          <w:instrText xml:space="preserve"> PAGE   \* MERGEFORMAT </w:instrText>
        </w:r>
        <w:r>
          <w:fldChar w:fldCharType="separate"/>
        </w:r>
        <w:r w:rsidR="00661798">
          <w:rPr>
            <w:noProof/>
          </w:rPr>
          <w:t>1</w:t>
        </w:r>
        <w:r>
          <w:fldChar w:fldCharType="end"/>
        </w:r>
      </w:p>
    </w:sdtContent>
  </w:sdt>
  <w:p w14:paraId="6138952E" w14:textId="77777777" w:rsidR="004A3516" w:rsidRDefault="004A35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3495" w14:textId="77777777" w:rsidR="004A3516" w:rsidRDefault="004A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BCE5" w14:textId="77777777" w:rsidR="009629C6" w:rsidRPr="000A6916" w:rsidRDefault="009629C6" w:rsidP="00A66C72">
      <w:pPr>
        <w:spacing w:after="0" w:line="240" w:lineRule="auto"/>
        <w:rPr>
          <w:lang w:val="pl-PL"/>
        </w:rPr>
      </w:pPr>
      <w:r w:rsidRPr="000A6916">
        <w:rPr>
          <w:lang w:val="pl-PL"/>
        </w:rPr>
        <w:separator/>
      </w:r>
    </w:p>
  </w:footnote>
  <w:footnote w:type="continuationSeparator" w:id="0">
    <w:p w14:paraId="3A04DD2E" w14:textId="77777777" w:rsidR="009629C6" w:rsidRPr="000A6916" w:rsidRDefault="009629C6" w:rsidP="00A66C72">
      <w:pPr>
        <w:spacing w:after="0" w:line="240" w:lineRule="auto"/>
        <w:rPr>
          <w:lang w:val="pl-PL"/>
        </w:rPr>
      </w:pPr>
      <w:r w:rsidRPr="000A6916">
        <w:rPr>
          <w:lang w:val="pl-PL"/>
        </w:rPr>
        <w:continuationSeparator/>
      </w:r>
    </w:p>
  </w:footnote>
  <w:footnote w:id="1">
    <w:p w14:paraId="4DF6E33B" w14:textId="48B305A0" w:rsidR="004A3516" w:rsidRPr="000A6916" w:rsidRDefault="004A3516" w:rsidP="001B0AE9">
      <w:pPr>
        <w:pStyle w:val="Footnote"/>
        <w:jc w:val="both"/>
        <w:rPr>
          <w:lang w:val="pl-PL"/>
        </w:rPr>
      </w:pPr>
      <w:r w:rsidRPr="000A6916">
        <w:rPr>
          <w:rStyle w:val="FootnoteReference"/>
          <w:lang w:val="pl-PL"/>
        </w:rPr>
        <w:footnoteRef/>
      </w:r>
      <w:r w:rsidRPr="000A6916">
        <w:rPr>
          <w:lang w:val="pl-PL"/>
        </w:rPr>
        <w:tab/>
        <w:t xml:space="preserve"> Dz.U. L 119</w:t>
      </w:r>
      <w:r w:rsidR="000A6916" w:rsidRPr="000A6916">
        <w:rPr>
          <w:lang w:val="pl-PL"/>
        </w:rPr>
        <w:t xml:space="preserve"> z</w:t>
      </w:r>
      <w:r w:rsidR="000A6916">
        <w:rPr>
          <w:lang w:val="pl-PL"/>
        </w:rPr>
        <w:t> </w:t>
      </w:r>
      <w:r w:rsidR="000A6916" w:rsidRPr="000A6916">
        <w:rPr>
          <w:lang w:val="pl-PL"/>
        </w:rPr>
        <w:t>4</w:t>
      </w:r>
      <w:r w:rsidRPr="000A6916">
        <w:rPr>
          <w:lang w:val="pl-PL"/>
        </w:rPr>
        <w:t>.5.2016, s. 1 (RODO).</w:t>
      </w:r>
    </w:p>
  </w:footnote>
  <w:footnote w:id="2">
    <w:p w14:paraId="47BEE909" w14:textId="61FAC637" w:rsidR="004A3516" w:rsidRPr="000A6916" w:rsidRDefault="004A3516"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W wersji ustawy</w:t>
      </w:r>
      <w:r w:rsidR="000A6916" w:rsidRPr="000A6916">
        <w:rPr>
          <w:lang w:val="pl-PL"/>
        </w:rPr>
        <w:t xml:space="preserve"> o</w:t>
      </w:r>
      <w:r w:rsidR="000A6916">
        <w:rPr>
          <w:lang w:val="pl-PL"/>
        </w:rPr>
        <w:t> </w:t>
      </w:r>
      <w:r w:rsidR="000A6916" w:rsidRPr="000A6916">
        <w:rPr>
          <w:lang w:val="pl-PL"/>
        </w:rPr>
        <w:t>och</w:t>
      </w:r>
      <w:r w:rsidRPr="000A6916">
        <w:rPr>
          <w:lang w:val="pl-PL"/>
        </w:rPr>
        <w:t>ronie informacji osobowych obowiązującej</w:t>
      </w:r>
      <w:r w:rsidR="000A6916" w:rsidRPr="000A6916">
        <w:rPr>
          <w:lang w:val="pl-PL"/>
        </w:rPr>
        <w:t xml:space="preserve"> w</w:t>
      </w:r>
      <w:r w:rsidR="000A6916">
        <w:rPr>
          <w:lang w:val="pl-PL"/>
        </w:rPr>
        <w:t> </w:t>
      </w:r>
      <w:r w:rsidR="000A6916" w:rsidRPr="000A6916">
        <w:rPr>
          <w:lang w:val="pl-PL"/>
        </w:rPr>
        <w:t>cza</w:t>
      </w:r>
      <w:r w:rsidRPr="000A6916">
        <w:rPr>
          <w:lang w:val="pl-PL"/>
        </w:rPr>
        <w:t>sie przyjęcia decyzji stwierdzającej odpowiedni stopień ochrony</w:t>
      </w:r>
      <w:r w:rsidR="000A6916" w:rsidRPr="000A6916">
        <w:rPr>
          <w:lang w:val="pl-PL"/>
        </w:rPr>
        <w:t xml:space="preserve"> w</w:t>
      </w:r>
      <w:r w:rsidR="000A6916">
        <w:rPr>
          <w:lang w:val="pl-PL"/>
        </w:rPr>
        <w:t> </w:t>
      </w:r>
      <w:r w:rsidR="000A6916" w:rsidRPr="000A6916">
        <w:rPr>
          <w:lang w:val="pl-PL"/>
        </w:rPr>
        <w:t>odn</w:t>
      </w:r>
      <w:r w:rsidRPr="000A6916">
        <w:rPr>
          <w:lang w:val="pl-PL"/>
        </w:rPr>
        <w:t>iesieniu do tego pojęcia stosowano określenie „podmiot gospodarczy przetwarzający informacje osobowe”. Termin „przedsiębiorstwo przetwarzające informacje osobowe” zdefiniowano</w:t>
      </w:r>
      <w:r w:rsidR="000A6916" w:rsidRPr="000A6916">
        <w:rPr>
          <w:lang w:val="pl-PL"/>
        </w:rPr>
        <w:t xml:space="preserve"> w</w:t>
      </w:r>
      <w:r w:rsidR="000A6916">
        <w:rPr>
          <w:lang w:val="pl-PL"/>
        </w:rPr>
        <w:t> </w:t>
      </w:r>
      <w:r w:rsidR="000A6916" w:rsidRPr="000A6916">
        <w:rPr>
          <w:lang w:val="pl-PL"/>
        </w:rPr>
        <w:t>art</w:t>
      </w:r>
      <w:r w:rsidRPr="000A6916">
        <w:rPr>
          <w:lang w:val="pl-PL"/>
        </w:rPr>
        <w:t>.</w:t>
      </w:r>
      <w:r w:rsidR="000A6916" w:rsidRPr="000A6916">
        <w:rPr>
          <w:lang w:val="pl-PL"/>
        </w:rPr>
        <w:t> </w:t>
      </w:r>
      <w:r w:rsidRPr="000A6916">
        <w:rPr>
          <w:lang w:val="pl-PL"/>
        </w:rPr>
        <w:t>16 ust.</w:t>
      </w:r>
      <w:r w:rsidR="000A6916" w:rsidRPr="000A6916">
        <w:rPr>
          <w:lang w:val="pl-PL"/>
        </w:rPr>
        <w:t> </w:t>
      </w:r>
      <w:r w:rsidRPr="000A6916">
        <w:rPr>
          <w:lang w:val="pl-PL"/>
        </w:rPr>
        <w:t>2 zmienionej ustawy</w:t>
      </w:r>
      <w:r w:rsidR="000A6916" w:rsidRPr="000A6916">
        <w:rPr>
          <w:lang w:val="pl-PL"/>
        </w:rPr>
        <w:t xml:space="preserve"> o</w:t>
      </w:r>
      <w:r w:rsidR="000A6916">
        <w:rPr>
          <w:lang w:val="pl-PL"/>
        </w:rPr>
        <w:t> </w:t>
      </w:r>
      <w:r w:rsidR="000A6916" w:rsidRPr="000A6916">
        <w:rPr>
          <w:lang w:val="pl-PL"/>
        </w:rPr>
        <w:t>och</w:t>
      </w:r>
      <w:r w:rsidRPr="000A6916">
        <w:rPr>
          <w:lang w:val="pl-PL"/>
        </w:rPr>
        <w:t>ronie informacji osobowych jako „osobę korzystającą</w:t>
      </w:r>
      <w:r w:rsidR="000A6916" w:rsidRPr="000A6916">
        <w:rPr>
          <w:lang w:val="pl-PL"/>
        </w:rPr>
        <w:t xml:space="preserve"> z</w:t>
      </w:r>
      <w:r w:rsidR="000A6916">
        <w:rPr>
          <w:lang w:val="pl-PL"/>
        </w:rPr>
        <w:t> </w:t>
      </w:r>
      <w:r w:rsidR="000A6916" w:rsidRPr="000A6916">
        <w:rPr>
          <w:lang w:val="pl-PL"/>
        </w:rPr>
        <w:t>baz</w:t>
      </w:r>
      <w:r w:rsidRPr="000A6916">
        <w:rPr>
          <w:lang w:val="pl-PL"/>
        </w:rPr>
        <w:t>y informacji osobowych lub jej odpowiednika na potrzeby działalności gospodarczej”,</w:t>
      </w:r>
      <w:r w:rsidR="000A6916" w:rsidRPr="000A6916">
        <w:rPr>
          <w:lang w:val="pl-PL"/>
        </w:rPr>
        <w:t xml:space="preserve"> z</w:t>
      </w:r>
      <w:r w:rsidR="000A6916">
        <w:rPr>
          <w:lang w:val="pl-PL"/>
        </w:rPr>
        <w:t> </w:t>
      </w:r>
      <w:r w:rsidR="000A6916" w:rsidRPr="000A6916">
        <w:rPr>
          <w:lang w:val="pl-PL"/>
        </w:rPr>
        <w:t>wył</w:t>
      </w:r>
      <w:r w:rsidRPr="000A6916">
        <w:rPr>
          <w:lang w:val="pl-PL"/>
        </w:rPr>
        <w:t>ączeniem agencji rządowych</w:t>
      </w:r>
      <w:r w:rsidR="000A6916" w:rsidRPr="000A6916">
        <w:rPr>
          <w:lang w:val="pl-PL"/>
        </w:rPr>
        <w:t xml:space="preserve"> i</w:t>
      </w:r>
      <w:r w:rsidR="000A6916">
        <w:rPr>
          <w:lang w:val="pl-PL"/>
        </w:rPr>
        <w:t> </w:t>
      </w:r>
      <w:r w:rsidR="000A6916" w:rsidRPr="000A6916">
        <w:rPr>
          <w:lang w:val="pl-PL"/>
        </w:rPr>
        <w:t>adm</w:t>
      </w:r>
      <w:r w:rsidRPr="000A6916">
        <w:rPr>
          <w:lang w:val="pl-PL"/>
        </w:rPr>
        <w:t>inistracyjnych, zarówno na szczeblu centralnym, jak</w:t>
      </w:r>
      <w:r w:rsidR="000A6916" w:rsidRPr="000A6916">
        <w:rPr>
          <w:lang w:val="pl-PL"/>
        </w:rPr>
        <w:t xml:space="preserve"> i</w:t>
      </w:r>
      <w:r w:rsidR="000A6916">
        <w:rPr>
          <w:lang w:val="pl-PL"/>
        </w:rPr>
        <w:t> </w:t>
      </w:r>
      <w:r w:rsidR="000A6916" w:rsidRPr="000A6916">
        <w:rPr>
          <w:lang w:val="pl-PL"/>
        </w:rPr>
        <w:t>lok</w:t>
      </w:r>
      <w:r w:rsidRPr="000A6916">
        <w:rPr>
          <w:lang w:val="pl-PL"/>
        </w:rPr>
        <w:t>alnym</w:t>
      </w:r>
      <w:r w:rsidR="000A6916" w:rsidRPr="000A6916">
        <w:rPr>
          <w:lang w:val="pl-PL"/>
        </w:rPr>
        <w:t>. W</w:t>
      </w:r>
      <w:r w:rsidR="000A6916">
        <w:rPr>
          <w:lang w:val="pl-PL"/>
        </w:rPr>
        <w:t> </w:t>
      </w:r>
      <w:r w:rsidR="000A6916" w:rsidRPr="000A6916">
        <w:rPr>
          <w:lang w:val="pl-PL"/>
        </w:rPr>
        <w:t>zwi</w:t>
      </w:r>
      <w:r w:rsidRPr="000A6916">
        <w:rPr>
          <w:lang w:val="pl-PL"/>
        </w:rPr>
        <w:t>ązku</w:t>
      </w:r>
      <w:r w:rsidR="000A6916" w:rsidRPr="000A6916">
        <w:rPr>
          <w:lang w:val="pl-PL"/>
        </w:rPr>
        <w:t xml:space="preserve"> z</w:t>
      </w:r>
      <w:r w:rsidR="000A6916">
        <w:rPr>
          <w:lang w:val="pl-PL"/>
        </w:rPr>
        <w:t> </w:t>
      </w:r>
      <w:r w:rsidR="000A6916" w:rsidRPr="000A6916">
        <w:rPr>
          <w:lang w:val="pl-PL"/>
        </w:rPr>
        <w:t>pow</w:t>
      </w:r>
      <w:r w:rsidRPr="000A6916">
        <w:rPr>
          <w:lang w:val="pl-PL"/>
        </w:rPr>
        <w:t>yższym pojęcie „działalności gospodarczej” zgodnie</w:t>
      </w:r>
      <w:r w:rsidR="000A6916" w:rsidRPr="000A6916">
        <w:rPr>
          <w:lang w:val="pl-PL"/>
        </w:rPr>
        <w:t xml:space="preserve"> z</w:t>
      </w:r>
      <w:r w:rsidR="000A6916">
        <w:rPr>
          <w:lang w:val="pl-PL"/>
        </w:rPr>
        <w:t> </w:t>
      </w:r>
      <w:r w:rsidR="000A6916" w:rsidRPr="000A6916">
        <w:rPr>
          <w:lang w:val="pl-PL"/>
        </w:rPr>
        <w:t>ust</w:t>
      </w:r>
      <w:r w:rsidRPr="000A6916">
        <w:rPr>
          <w:lang w:val="pl-PL"/>
        </w:rPr>
        <w:t>awą</w:t>
      </w:r>
      <w:r w:rsidR="000A6916" w:rsidRPr="000A6916">
        <w:rPr>
          <w:lang w:val="pl-PL"/>
        </w:rPr>
        <w:t xml:space="preserve"> o</w:t>
      </w:r>
      <w:r w:rsidR="000A6916">
        <w:rPr>
          <w:lang w:val="pl-PL"/>
        </w:rPr>
        <w:t> </w:t>
      </w:r>
      <w:r w:rsidR="000A6916" w:rsidRPr="000A6916">
        <w:rPr>
          <w:lang w:val="pl-PL"/>
        </w:rPr>
        <w:t>och</w:t>
      </w:r>
      <w:r w:rsidRPr="000A6916">
        <w:rPr>
          <w:lang w:val="pl-PL"/>
        </w:rPr>
        <w:t>ronie informacji osobowych jest bardzo szerokie</w:t>
      </w:r>
      <w:r w:rsidR="000A6916" w:rsidRPr="000A6916">
        <w:rPr>
          <w:lang w:val="pl-PL"/>
        </w:rPr>
        <w:t xml:space="preserve"> w</w:t>
      </w:r>
      <w:r w:rsidR="000A6916">
        <w:rPr>
          <w:lang w:val="pl-PL"/>
        </w:rPr>
        <w:t> </w:t>
      </w:r>
      <w:r w:rsidR="000A6916" w:rsidRPr="000A6916">
        <w:rPr>
          <w:lang w:val="pl-PL"/>
        </w:rPr>
        <w:t>tym</w:t>
      </w:r>
      <w:r w:rsidRPr="000A6916">
        <w:rPr>
          <w:lang w:val="pl-PL"/>
        </w:rPr>
        <w:t xml:space="preserve"> względzie, że obejmuje zarówno działania ukierunkowane, jak</w:t>
      </w:r>
      <w:r w:rsidR="000A6916" w:rsidRPr="000A6916">
        <w:rPr>
          <w:lang w:val="pl-PL"/>
        </w:rPr>
        <w:t xml:space="preserve"> i</w:t>
      </w:r>
      <w:r w:rsidR="000A6916">
        <w:rPr>
          <w:lang w:val="pl-PL"/>
        </w:rPr>
        <w:t> </w:t>
      </w:r>
      <w:r w:rsidR="000A6916" w:rsidRPr="000A6916">
        <w:rPr>
          <w:lang w:val="pl-PL"/>
        </w:rPr>
        <w:t>dzi</w:t>
      </w:r>
      <w:r w:rsidRPr="000A6916">
        <w:rPr>
          <w:lang w:val="pl-PL"/>
        </w:rPr>
        <w:t>ałania nieukierunkowane na osiąganie zysku, podejmowane przez wszelkiego rodzaju organizacje</w:t>
      </w:r>
      <w:r w:rsidR="000A6916" w:rsidRPr="000A6916">
        <w:rPr>
          <w:lang w:val="pl-PL"/>
        </w:rPr>
        <w:t xml:space="preserve"> i</w:t>
      </w:r>
      <w:r w:rsidR="000A6916">
        <w:rPr>
          <w:lang w:val="pl-PL"/>
        </w:rPr>
        <w:t> </w:t>
      </w:r>
      <w:r w:rsidR="000A6916" w:rsidRPr="000A6916">
        <w:rPr>
          <w:lang w:val="pl-PL"/>
        </w:rPr>
        <w:t>oso</w:t>
      </w:r>
      <w:r w:rsidRPr="000A6916">
        <w:rPr>
          <w:lang w:val="pl-PL"/>
        </w:rPr>
        <w:t xml:space="preserve">by fizyczne. Ponadto „wykorzystywanie na potrzeby działalności gospodarczej” obejmuje również informacje osobowe, które nie są wykorzystywane w (zewnętrznych) relacjach handlowych podmiotu, ale do użytku wewnętrznego, na przykład przy przetwarzaniu danych pracowników. Zob. motywy 32–34 decyzji. </w:t>
      </w:r>
    </w:p>
  </w:footnote>
  <w:footnote w:id="3">
    <w:p w14:paraId="54D6EC42" w14:textId="5810C999" w:rsidR="00BC1349" w:rsidRPr="000A6916" w:rsidRDefault="00BC1349" w:rsidP="00BC134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Decyzja wykonawcza Komisji (UE) 2019/419</w:t>
      </w:r>
      <w:r w:rsidR="000A6916" w:rsidRPr="000A6916">
        <w:rPr>
          <w:lang w:val="pl-PL"/>
        </w:rPr>
        <w:t xml:space="preserve"> z</w:t>
      </w:r>
      <w:r w:rsidR="000A6916">
        <w:rPr>
          <w:lang w:val="pl-PL"/>
        </w:rPr>
        <w:t> </w:t>
      </w:r>
      <w:r w:rsidR="000A6916" w:rsidRPr="000A6916">
        <w:rPr>
          <w:lang w:val="pl-PL"/>
        </w:rPr>
        <w:t>dni</w:t>
      </w:r>
      <w:r w:rsidRPr="000A6916">
        <w:rPr>
          <w:lang w:val="pl-PL"/>
        </w:rPr>
        <w:t>a 23 stycznia 2019</w:t>
      </w:r>
      <w:r w:rsidR="000A6916" w:rsidRPr="000A6916">
        <w:rPr>
          <w:lang w:val="pl-PL"/>
        </w:rPr>
        <w:t> </w:t>
      </w:r>
      <w:r w:rsidRPr="000A6916">
        <w:rPr>
          <w:lang w:val="pl-PL"/>
        </w:rPr>
        <w:t>r. na podstawie rozporządzenia Parlamentu Europejskiego</w:t>
      </w:r>
      <w:r w:rsidR="000A6916" w:rsidRPr="000A6916">
        <w:rPr>
          <w:lang w:val="pl-PL"/>
        </w:rPr>
        <w:t xml:space="preserve"> i</w:t>
      </w:r>
      <w:r w:rsidR="000A6916">
        <w:rPr>
          <w:lang w:val="pl-PL"/>
        </w:rPr>
        <w:t> </w:t>
      </w:r>
      <w:r w:rsidR="000A6916" w:rsidRPr="000A6916">
        <w:rPr>
          <w:lang w:val="pl-PL"/>
        </w:rPr>
        <w:t>Rad</w:t>
      </w:r>
      <w:r w:rsidRPr="000A6916">
        <w:rPr>
          <w:lang w:val="pl-PL"/>
        </w:rPr>
        <w:t>y (UE) 2016/679, stwierdzająca odpowiedni stopień ochrony danych osobowych przez Japonię na mocy ustawy</w:t>
      </w:r>
      <w:r w:rsidR="000A6916" w:rsidRPr="000A6916">
        <w:rPr>
          <w:lang w:val="pl-PL"/>
        </w:rPr>
        <w:t xml:space="preserve"> o</w:t>
      </w:r>
      <w:r w:rsidR="000A6916">
        <w:rPr>
          <w:lang w:val="pl-PL"/>
        </w:rPr>
        <w:t> </w:t>
      </w:r>
      <w:r w:rsidR="000A6916" w:rsidRPr="000A6916">
        <w:rPr>
          <w:lang w:val="pl-PL"/>
        </w:rPr>
        <w:t>och</w:t>
      </w:r>
      <w:r w:rsidRPr="000A6916">
        <w:rPr>
          <w:lang w:val="pl-PL"/>
        </w:rPr>
        <w:t>ronie informacji osobowych, Dz.U. L 76</w:t>
      </w:r>
      <w:r w:rsidR="000A6916" w:rsidRPr="000A6916">
        <w:rPr>
          <w:lang w:val="pl-PL"/>
        </w:rPr>
        <w:t xml:space="preserve"> z</w:t>
      </w:r>
      <w:r w:rsidR="000A6916">
        <w:rPr>
          <w:lang w:val="pl-PL"/>
        </w:rPr>
        <w:t> </w:t>
      </w:r>
      <w:r w:rsidR="000A6916" w:rsidRPr="000A6916">
        <w:rPr>
          <w:lang w:val="pl-PL"/>
        </w:rPr>
        <w:t>1</w:t>
      </w:r>
      <w:r w:rsidRPr="000A6916">
        <w:rPr>
          <w:lang w:val="pl-PL"/>
        </w:rPr>
        <w:t>9.3.2019, s. 1.</w:t>
      </w:r>
    </w:p>
  </w:footnote>
  <w:footnote w:id="4">
    <w:p w14:paraId="01FECE26" w14:textId="337791D0" w:rsidR="004A3516" w:rsidRPr="000A6916" w:rsidRDefault="004A3516"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Zob. art.</w:t>
      </w:r>
      <w:r w:rsidR="000A6916" w:rsidRPr="000A6916">
        <w:rPr>
          <w:lang w:val="pl-PL"/>
        </w:rPr>
        <w:t> </w:t>
      </w:r>
      <w:r w:rsidRPr="000A6916">
        <w:rPr>
          <w:lang w:val="pl-PL"/>
        </w:rPr>
        <w:t>45 RODO</w:t>
      </w:r>
      <w:r w:rsidR="000A6916" w:rsidRPr="000A6916">
        <w:rPr>
          <w:lang w:val="pl-PL"/>
        </w:rPr>
        <w:t xml:space="preserve"> i</w:t>
      </w:r>
      <w:r w:rsidR="000A6916">
        <w:rPr>
          <w:lang w:val="pl-PL"/>
        </w:rPr>
        <w:t> </w:t>
      </w:r>
      <w:r w:rsidR="000A6916" w:rsidRPr="000A6916">
        <w:rPr>
          <w:lang w:val="pl-PL"/>
        </w:rPr>
        <w:t>mot</w:t>
      </w:r>
      <w:r w:rsidRPr="000A6916">
        <w:rPr>
          <w:lang w:val="pl-PL"/>
        </w:rPr>
        <w:t xml:space="preserve">yw 5 decyzji. </w:t>
      </w:r>
    </w:p>
  </w:footnote>
  <w:footnote w:id="5">
    <w:p w14:paraId="2DAEB7CA" w14:textId="340B7968" w:rsidR="004A3516" w:rsidRPr="000A6916" w:rsidRDefault="004A3516"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Zob. załącznik I do decyzji.</w:t>
      </w:r>
    </w:p>
  </w:footnote>
  <w:footnote w:id="6">
    <w:p w14:paraId="4EBBD008" w14:textId="266EA8A5" w:rsidR="00E55B38" w:rsidRPr="000A6916" w:rsidRDefault="00E55B38" w:rsidP="00E55B38">
      <w:pPr>
        <w:pStyle w:val="FootnoteText"/>
        <w:ind w:left="284" w:hanging="284"/>
        <w:jc w:val="both"/>
        <w:rPr>
          <w:lang w:val="pl-PL"/>
        </w:rPr>
      </w:pPr>
      <w:r w:rsidRPr="000A6916">
        <w:rPr>
          <w:rStyle w:val="FootnoteReference"/>
          <w:lang w:val="pl-PL"/>
        </w:rPr>
        <w:footnoteRef/>
      </w:r>
      <w:r w:rsidRPr="000A6916">
        <w:rPr>
          <w:lang w:val="pl-PL"/>
        </w:rPr>
        <w:t xml:space="preserve"> </w:t>
      </w:r>
      <w:r w:rsidRPr="000A6916">
        <w:rPr>
          <w:lang w:val="pl-PL"/>
        </w:rPr>
        <w:tab/>
      </w:r>
      <w:r w:rsidRPr="000A6916">
        <w:rPr>
          <w:rFonts w:ascii="Times New Roman" w:hAnsi="Times New Roman"/>
          <w:lang w:val="pl-PL"/>
        </w:rPr>
        <w:t>W międzyczasie</w:t>
      </w:r>
      <w:r w:rsidR="000A6916" w:rsidRPr="000A6916">
        <w:rPr>
          <w:rFonts w:ascii="Times New Roman" w:hAnsi="Times New Roman"/>
          <w:lang w:val="pl-PL"/>
        </w:rPr>
        <w:t xml:space="preserve"> w</w:t>
      </w:r>
      <w:r w:rsidR="000A6916">
        <w:rPr>
          <w:rFonts w:ascii="Times New Roman" w:hAnsi="Times New Roman"/>
          <w:lang w:val="pl-PL"/>
        </w:rPr>
        <w:t> </w:t>
      </w:r>
      <w:r w:rsidR="000A6916" w:rsidRPr="000A6916">
        <w:rPr>
          <w:rFonts w:ascii="Times New Roman" w:hAnsi="Times New Roman"/>
          <w:lang w:val="pl-PL"/>
        </w:rPr>
        <w:t>ram</w:t>
      </w:r>
      <w:r w:rsidRPr="000A6916">
        <w:rPr>
          <w:rFonts w:ascii="Times New Roman" w:hAnsi="Times New Roman"/>
          <w:lang w:val="pl-PL"/>
        </w:rPr>
        <w:t>ach zmiany ustawy</w:t>
      </w:r>
      <w:r w:rsidR="000A6916" w:rsidRPr="000A6916">
        <w:rPr>
          <w:rFonts w:ascii="Times New Roman" w:hAnsi="Times New Roman"/>
          <w:lang w:val="pl-PL"/>
        </w:rPr>
        <w:t xml:space="preserve"> o</w:t>
      </w:r>
      <w:r w:rsidR="000A6916">
        <w:rPr>
          <w:rFonts w:ascii="Times New Roman" w:hAnsi="Times New Roman"/>
          <w:lang w:val="pl-PL"/>
        </w:rPr>
        <w:t> </w:t>
      </w:r>
      <w:r w:rsidR="000A6916" w:rsidRPr="000A6916">
        <w:rPr>
          <w:rFonts w:ascii="Times New Roman" w:hAnsi="Times New Roman"/>
          <w:lang w:val="pl-PL"/>
        </w:rPr>
        <w:t>och</w:t>
      </w:r>
      <w:r w:rsidRPr="000A6916">
        <w:rPr>
          <w:rFonts w:ascii="Times New Roman" w:hAnsi="Times New Roman"/>
          <w:lang w:val="pl-PL"/>
        </w:rPr>
        <w:t>ronie informacji osobowych</w:t>
      </w:r>
      <w:r w:rsidR="000A6916" w:rsidRPr="000A6916">
        <w:rPr>
          <w:rFonts w:ascii="Times New Roman" w:hAnsi="Times New Roman"/>
          <w:lang w:val="pl-PL"/>
        </w:rPr>
        <w:t xml:space="preserve"> w</w:t>
      </w:r>
      <w:r w:rsidR="000A6916">
        <w:rPr>
          <w:rFonts w:ascii="Times New Roman" w:hAnsi="Times New Roman"/>
          <w:lang w:val="pl-PL"/>
        </w:rPr>
        <w:t> </w:t>
      </w:r>
      <w:r w:rsidR="000A6916" w:rsidRPr="000A6916">
        <w:rPr>
          <w:rFonts w:ascii="Times New Roman" w:hAnsi="Times New Roman"/>
          <w:lang w:val="pl-PL"/>
        </w:rPr>
        <w:t>2</w:t>
      </w:r>
      <w:r w:rsidRPr="000A6916">
        <w:rPr>
          <w:rFonts w:ascii="Times New Roman" w:hAnsi="Times New Roman"/>
          <w:lang w:val="pl-PL"/>
        </w:rPr>
        <w:t>020</w:t>
      </w:r>
      <w:r w:rsidR="000A6916" w:rsidRPr="000A6916">
        <w:rPr>
          <w:rFonts w:ascii="Times New Roman" w:hAnsi="Times New Roman"/>
          <w:lang w:val="pl-PL"/>
        </w:rPr>
        <w:t> </w:t>
      </w:r>
      <w:r w:rsidRPr="000A6916">
        <w:rPr>
          <w:rFonts w:ascii="Times New Roman" w:hAnsi="Times New Roman"/>
          <w:lang w:val="pl-PL"/>
        </w:rPr>
        <w:t>r. zmieniono definicję „danych osobowych znajdujących się</w:t>
      </w:r>
      <w:r w:rsidR="000A6916" w:rsidRPr="000A6916">
        <w:rPr>
          <w:rFonts w:ascii="Times New Roman" w:hAnsi="Times New Roman"/>
          <w:lang w:val="pl-PL"/>
        </w:rPr>
        <w:t xml:space="preserve"> w</w:t>
      </w:r>
      <w:r w:rsidR="000A6916">
        <w:rPr>
          <w:rFonts w:ascii="Times New Roman" w:hAnsi="Times New Roman"/>
          <w:lang w:val="pl-PL"/>
        </w:rPr>
        <w:t> </w:t>
      </w:r>
      <w:r w:rsidR="000A6916" w:rsidRPr="000A6916">
        <w:rPr>
          <w:rFonts w:ascii="Times New Roman" w:hAnsi="Times New Roman"/>
          <w:lang w:val="pl-PL"/>
        </w:rPr>
        <w:t>pos</w:t>
      </w:r>
      <w:r w:rsidRPr="000A6916">
        <w:rPr>
          <w:rFonts w:ascii="Times New Roman" w:hAnsi="Times New Roman"/>
          <w:lang w:val="pl-PL"/>
        </w:rPr>
        <w:t>iadaniu przedsiębiorstwa”</w:t>
      </w:r>
      <w:r w:rsidR="000A6916" w:rsidRPr="000A6916">
        <w:rPr>
          <w:rFonts w:ascii="Times New Roman" w:hAnsi="Times New Roman"/>
          <w:lang w:val="pl-PL"/>
        </w:rPr>
        <w:t xml:space="preserve"> i</w:t>
      </w:r>
      <w:r w:rsidR="000A6916">
        <w:rPr>
          <w:rFonts w:ascii="Times New Roman" w:hAnsi="Times New Roman"/>
          <w:lang w:val="pl-PL"/>
        </w:rPr>
        <w:t> </w:t>
      </w:r>
      <w:r w:rsidR="000A6916" w:rsidRPr="000A6916">
        <w:rPr>
          <w:rFonts w:ascii="Times New Roman" w:hAnsi="Times New Roman"/>
          <w:lang w:val="pl-PL"/>
        </w:rPr>
        <w:t>uwz</w:t>
      </w:r>
      <w:r w:rsidRPr="000A6916">
        <w:rPr>
          <w:rFonts w:ascii="Times New Roman" w:hAnsi="Times New Roman"/>
          <w:lang w:val="pl-PL"/>
        </w:rPr>
        <w:t>ględniono</w:t>
      </w:r>
      <w:r w:rsidR="000A6916" w:rsidRPr="000A6916">
        <w:rPr>
          <w:rFonts w:ascii="Times New Roman" w:hAnsi="Times New Roman"/>
          <w:lang w:val="pl-PL"/>
        </w:rPr>
        <w:t xml:space="preserve"> w</w:t>
      </w:r>
      <w:r w:rsidR="000A6916">
        <w:rPr>
          <w:rFonts w:ascii="Times New Roman" w:hAnsi="Times New Roman"/>
          <w:lang w:val="pl-PL"/>
        </w:rPr>
        <w:t> </w:t>
      </w:r>
      <w:r w:rsidR="000A6916" w:rsidRPr="000A6916">
        <w:rPr>
          <w:rFonts w:ascii="Times New Roman" w:hAnsi="Times New Roman"/>
          <w:lang w:val="pl-PL"/>
        </w:rPr>
        <w:t>nie</w:t>
      </w:r>
      <w:r w:rsidRPr="000A6916">
        <w:rPr>
          <w:rFonts w:ascii="Times New Roman" w:hAnsi="Times New Roman"/>
          <w:lang w:val="pl-PL"/>
        </w:rPr>
        <w:t>j wcześniej wykluczone dane osobowe „które mają zostać usunięte”</w:t>
      </w:r>
      <w:r w:rsidR="000A6916" w:rsidRPr="000A6916">
        <w:rPr>
          <w:rFonts w:ascii="Times New Roman" w:hAnsi="Times New Roman"/>
          <w:lang w:val="pl-PL"/>
        </w:rPr>
        <w:t xml:space="preserve"> w</w:t>
      </w:r>
      <w:r w:rsidR="000A6916">
        <w:rPr>
          <w:rFonts w:ascii="Times New Roman" w:hAnsi="Times New Roman"/>
          <w:lang w:val="pl-PL"/>
        </w:rPr>
        <w:t> </w:t>
      </w:r>
      <w:r w:rsidR="000A6916" w:rsidRPr="000A6916">
        <w:rPr>
          <w:rFonts w:ascii="Times New Roman" w:hAnsi="Times New Roman"/>
          <w:lang w:val="pl-PL"/>
        </w:rPr>
        <w:t>okr</w:t>
      </w:r>
      <w:r w:rsidRPr="000A6916">
        <w:rPr>
          <w:rFonts w:ascii="Times New Roman" w:hAnsi="Times New Roman"/>
          <w:lang w:val="pl-PL"/>
        </w:rPr>
        <w:t>esie sześciu miesięcy (art.</w:t>
      </w:r>
      <w:r w:rsidR="000A6916" w:rsidRPr="000A6916">
        <w:rPr>
          <w:rFonts w:ascii="Times New Roman" w:hAnsi="Times New Roman"/>
          <w:lang w:val="pl-PL"/>
        </w:rPr>
        <w:t> </w:t>
      </w:r>
      <w:r w:rsidRPr="000A6916">
        <w:rPr>
          <w:rFonts w:ascii="Times New Roman" w:hAnsi="Times New Roman"/>
          <w:lang w:val="pl-PL"/>
        </w:rPr>
        <w:t>16 ust.</w:t>
      </w:r>
      <w:r w:rsidR="000A6916" w:rsidRPr="000A6916">
        <w:rPr>
          <w:rFonts w:ascii="Times New Roman" w:hAnsi="Times New Roman"/>
          <w:lang w:val="pl-PL"/>
        </w:rPr>
        <w:t> </w:t>
      </w:r>
      <w:r w:rsidRPr="000A6916">
        <w:rPr>
          <w:rFonts w:ascii="Times New Roman" w:hAnsi="Times New Roman"/>
          <w:lang w:val="pl-PL"/>
        </w:rPr>
        <w:t>4 zmienionej ustawy</w:t>
      </w:r>
      <w:r w:rsidR="000A6916" w:rsidRPr="000A6916">
        <w:rPr>
          <w:rFonts w:ascii="Times New Roman" w:hAnsi="Times New Roman"/>
          <w:lang w:val="pl-PL"/>
        </w:rPr>
        <w:t xml:space="preserve"> o</w:t>
      </w:r>
      <w:r w:rsidR="000A6916">
        <w:rPr>
          <w:rFonts w:ascii="Times New Roman" w:hAnsi="Times New Roman"/>
          <w:lang w:val="pl-PL"/>
        </w:rPr>
        <w:t> </w:t>
      </w:r>
      <w:r w:rsidR="000A6916" w:rsidRPr="000A6916">
        <w:rPr>
          <w:rFonts w:ascii="Times New Roman" w:hAnsi="Times New Roman"/>
          <w:lang w:val="pl-PL"/>
        </w:rPr>
        <w:t>och</w:t>
      </w:r>
      <w:r w:rsidRPr="000A6916">
        <w:rPr>
          <w:rFonts w:ascii="Times New Roman" w:hAnsi="Times New Roman"/>
          <w:lang w:val="pl-PL"/>
        </w:rPr>
        <w:t>ronie informacji osobowych)</w:t>
      </w:r>
      <w:r w:rsidR="000A6916" w:rsidRPr="000A6916">
        <w:rPr>
          <w:rFonts w:ascii="Times New Roman" w:hAnsi="Times New Roman"/>
          <w:lang w:val="pl-PL"/>
        </w:rPr>
        <w:t>. W</w:t>
      </w:r>
      <w:r w:rsidR="000A6916">
        <w:rPr>
          <w:rFonts w:ascii="Times New Roman" w:hAnsi="Times New Roman"/>
          <w:lang w:val="pl-PL"/>
        </w:rPr>
        <w:t> </w:t>
      </w:r>
      <w:r w:rsidR="000A6916" w:rsidRPr="000A6916">
        <w:rPr>
          <w:rFonts w:ascii="Times New Roman" w:hAnsi="Times New Roman"/>
          <w:lang w:val="pl-PL"/>
        </w:rPr>
        <w:t>wer</w:t>
      </w:r>
      <w:r w:rsidRPr="000A6916">
        <w:rPr>
          <w:rFonts w:ascii="Times New Roman" w:hAnsi="Times New Roman"/>
          <w:lang w:val="pl-PL"/>
        </w:rPr>
        <w:t>sji ustawy</w:t>
      </w:r>
      <w:r w:rsidR="000A6916" w:rsidRPr="000A6916">
        <w:rPr>
          <w:rFonts w:ascii="Times New Roman" w:hAnsi="Times New Roman"/>
          <w:lang w:val="pl-PL"/>
        </w:rPr>
        <w:t xml:space="preserve"> o</w:t>
      </w:r>
      <w:r w:rsidR="000A6916">
        <w:rPr>
          <w:rFonts w:ascii="Times New Roman" w:hAnsi="Times New Roman"/>
          <w:lang w:val="pl-PL"/>
        </w:rPr>
        <w:t> </w:t>
      </w:r>
      <w:r w:rsidR="000A6916" w:rsidRPr="000A6916">
        <w:rPr>
          <w:rFonts w:ascii="Times New Roman" w:hAnsi="Times New Roman"/>
          <w:lang w:val="pl-PL"/>
        </w:rPr>
        <w:t>och</w:t>
      </w:r>
      <w:r w:rsidRPr="000A6916">
        <w:rPr>
          <w:rFonts w:ascii="Times New Roman" w:hAnsi="Times New Roman"/>
          <w:lang w:val="pl-PL"/>
        </w:rPr>
        <w:t>ronie informacji osobowych obowiązującej</w:t>
      </w:r>
      <w:r w:rsidR="000A6916" w:rsidRPr="000A6916">
        <w:rPr>
          <w:rFonts w:ascii="Times New Roman" w:hAnsi="Times New Roman"/>
          <w:lang w:val="pl-PL"/>
        </w:rPr>
        <w:t xml:space="preserve"> w</w:t>
      </w:r>
      <w:r w:rsidR="000A6916">
        <w:rPr>
          <w:rFonts w:ascii="Times New Roman" w:hAnsi="Times New Roman"/>
          <w:lang w:val="pl-PL"/>
        </w:rPr>
        <w:t> </w:t>
      </w:r>
      <w:r w:rsidR="000A6916" w:rsidRPr="000A6916">
        <w:rPr>
          <w:rFonts w:ascii="Times New Roman" w:hAnsi="Times New Roman"/>
          <w:lang w:val="pl-PL"/>
        </w:rPr>
        <w:t>cza</w:t>
      </w:r>
      <w:r w:rsidRPr="000A6916">
        <w:rPr>
          <w:rFonts w:ascii="Times New Roman" w:hAnsi="Times New Roman"/>
          <w:lang w:val="pl-PL"/>
        </w:rPr>
        <w:t>sie przyjęcia decyzji stwierdzającej odpowiedni stopień ochrony</w:t>
      </w:r>
      <w:r w:rsidR="000A6916" w:rsidRPr="000A6916">
        <w:rPr>
          <w:rFonts w:ascii="Times New Roman" w:hAnsi="Times New Roman"/>
          <w:lang w:val="pl-PL"/>
        </w:rPr>
        <w:t xml:space="preserve"> w</w:t>
      </w:r>
      <w:r w:rsidR="000A6916">
        <w:rPr>
          <w:rFonts w:ascii="Times New Roman" w:hAnsi="Times New Roman"/>
          <w:lang w:val="pl-PL"/>
        </w:rPr>
        <w:t> </w:t>
      </w:r>
      <w:r w:rsidR="000A6916" w:rsidRPr="000A6916">
        <w:rPr>
          <w:rFonts w:ascii="Times New Roman" w:hAnsi="Times New Roman"/>
          <w:lang w:val="pl-PL"/>
        </w:rPr>
        <w:t>odn</w:t>
      </w:r>
      <w:r w:rsidRPr="000A6916">
        <w:rPr>
          <w:rFonts w:ascii="Times New Roman" w:hAnsi="Times New Roman"/>
          <w:lang w:val="pl-PL"/>
        </w:rPr>
        <w:t xml:space="preserve">iesieniu do tego pojęcia stosowano określenie „zatrzymane dane osobowe”. </w:t>
      </w:r>
    </w:p>
  </w:footnote>
  <w:footnote w:id="7">
    <w:p w14:paraId="4D78A935" w14:textId="77777777" w:rsidR="004A3516" w:rsidRPr="000A6916" w:rsidRDefault="004A3516"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 xml:space="preserve">Motywy 26, 31, 43, 49–51, 63, 68, 71, 76–79, 101 decyzji. </w:t>
      </w:r>
    </w:p>
  </w:footnote>
  <w:footnote w:id="8">
    <w:p w14:paraId="29002CF3" w14:textId="77777777" w:rsidR="004A3516" w:rsidRPr="000A6916" w:rsidRDefault="004A3516"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 xml:space="preserve">Motyw 15 decyzji. </w:t>
      </w:r>
    </w:p>
  </w:footnote>
  <w:footnote w:id="9">
    <w:p w14:paraId="4C4854F9" w14:textId="17DEDFD2" w:rsidR="004A3516" w:rsidRPr="000A6916" w:rsidRDefault="004A3516"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Motywy 113–170 decyzji</w:t>
      </w:r>
      <w:r w:rsidR="000A6916" w:rsidRPr="000A6916">
        <w:rPr>
          <w:lang w:val="pl-PL"/>
        </w:rPr>
        <w:t xml:space="preserve"> i</w:t>
      </w:r>
      <w:r w:rsidR="000A6916">
        <w:rPr>
          <w:lang w:val="pl-PL"/>
        </w:rPr>
        <w:t> </w:t>
      </w:r>
      <w:r w:rsidR="000A6916" w:rsidRPr="000A6916">
        <w:rPr>
          <w:lang w:val="pl-PL"/>
        </w:rPr>
        <w:t>zał</w:t>
      </w:r>
      <w:r w:rsidRPr="000A6916">
        <w:rPr>
          <w:lang w:val="pl-PL"/>
        </w:rPr>
        <w:t xml:space="preserve">ącznik II do decyzji. </w:t>
      </w:r>
    </w:p>
  </w:footnote>
  <w:footnote w:id="10">
    <w:p w14:paraId="0DF0BEDC" w14:textId="77777777" w:rsidR="004A3516" w:rsidRPr="000A6916" w:rsidRDefault="004A3516"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 xml:space="preserve">Motywy 141–144, 149, 169 decyzji. </w:t>
      </w:r>
    </w:p>
  </w:footnote>
  <w:footnote w:id="11">
    <w:p w14:paraId="3B7B72B2" w14:textId="77777777" w:rsidR="00BC1349" w:rsidRPr="000A6916" w:rsidRDefault="00BC1349" w:rsidP="00BC1349">
      <w:pPr>
        <w:pStyle w:val="Footnote"/>
        <w:jc w:val="both"/>
        <w:rPr>
          <w:lang w:val="pl-PL"/>
        </w:rPr>
      </w:pPr>
      <w:r w:rsidRPr="000A6916">
        <w:rPr>
          <w:rStyle w:val="FootnoteReference"/>
          <w:lang w:val="pl-PL"/>
        </w:rPr>
        <w:footnoteRef/>
      </w:r>
      <w:r w:rsidRPr="000A6916">
        <w:rPr>
          <w:lang w:val="pl-PL"/>
        </w:rPr>
        <w:t xml:space="preserve"> Zob. komunikat prasowy wydany po zakończeniu tych rozmów, dostępny na stronie internetowej: </w:t>
      </w:r>
      <w:hyperlink r:id="rId1" w:history="1">
        <w:r w:rsidRPr="000A6916">
          <w:rPr>
            <w:rStyle w:val="Hyperlink"/>
            <w:lang w:val="pl-PL"/>
          </w:rPr>
          <w:t>https://ec.europa.eu/commission/presscorner/detail/pl/IP_18_4501</w:t>
        </w:r>
      </w:hyperlink>
    </w:p>
  </w:footnote>
  <w:footnote w:id="12">
    <w:p w14:paraId="36F66172" w14:textId="20C27CE4" w:rsidR="004A3516" w:rsidRPr="000A6916" w:rsidRDefault="004A3516"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Decyzja Rady (UE) 2018/1907</w:t>
      </w:r>
      <w:r w:rsidR="000A6916" w:rsidRPr="000A6916">
        <w:rPr>
          <w:lang w:val="pl-PL"/>
        </w:rPr>
        <w:t xml:space="preserve"> z</w:t>
      </w:r>
      <w:r w:rsidR="000A6916">
        <w:rPr>
          <w:lang w:val="pl-PL"/>
        </w:rPr>
        <w:t> </w:t>
      </w:r>
      <w:r w:rsidR="000A6916" w:rsidRPr="000A6916">
        <w:rPr>
          <w:lang w:val="pl-PL"/>
        </w:rPr>
        <w:t>dni</w:t>
      </w:r>
      <w:r w:rsidRPr="000A6916">
        <w:rPr>
          <w:lang w:val="pl-PL"/>
        </w:rPr>
        <w:t>a 20 grudnia 2018</w:t>
      </w:r>
      <w:r w:rsidR="000A6916" w:rsidRPr="000A6916">
        <w:rPr>
          <w:lang w:val="pl-PL"/>
        </w:rPr>
        <w:t> </w:t>
      </w:r>
      <w:r w:rsidRPr="000A6916">
        <w:rPr>
          <w:lang w:val="pl-PL"/>
        </w:rPr>
        <w:t>r.</w:t>
      </w:r>
      <w:r w:rsidR="000A6916" w:rsidRPr="000A6916">
        <w:rPr>
          <w:lang w:val="pl-PL"/>
        </w:rPr>
        <w:t xml:space="preserve"> w</w:t>
      </w:r>
      <w:r w:rsidR="000A6916">
        <w:rPr>
          <w:lang w:val="pl-PL"/>
        </w:rPr>
        <w:t> </w:t>
      </w:r>
      <w:r w:rsidR="000A6916" w:rsidRPr="000A6916">
        <w:rPr>
          <w:lang w:val="pl-PL"/>
        </w:rPr>
        <w:t>spr</w:t>
      </w:r>
      <w:r w:rsidRPr="000A6916">
        <w:rPr>
          <w:lang w:val="pl-PL"/>
        </w:rPr>
        <w:t>awie zawarcia między Unią Europejską</w:t>
      </w:r>
      <w:r w:rsidR="000A6916" w:rsidRPr="000A6916">
        <w:rPr>
          <w:lang w:val="pl-PL"/>
        </w:rPr>
        <w:t xml:space="preserve"> a</w:t>
      </w:r>
      <w:r w:rsidR="000A6916">
        <w:rPr>
          <w:lang w:val="pl-PL"/>
        </w:rPr>
        <w:t> </w:t>
      </w:r>
      <w:r w:rsidR="000A6916" w:rsidRPr="000A6916">
        <w:rPr>
          <w:lang w:val="pl-PL"/>
        </w:rPr>
        <w:t>Jap</w:t>
      </w:r>
      <w:r w:rsidRPr="000A6916">
        <w:rPr>
          <w:lang w:val="pl-PL"/>
        </w:rPr>
        <w:t>onią Umowy</w:t>
      </w:r>
      <w:r w:rsidR="000A6916" w:rsidRPr="000A6916">
        <w:rPr>
          <w:lang w:val="pl-PL"/>
        </w:rPr>
        <w:t xml:space="preserve"> o</w:t>
      </w:r>
      <w:r w:rsidR="000A6916">
        <w:rPr>
          <w:lang w:val="pl-PL"/>
        </w:rPr>
        <w:t> </w:t>
      </w:r>
      <w:r w:rsidR="000A6916" w:rsidRPr="000A6916">
        <w:rPr>
          <w:lang w:val="pl-PL"/>
        </w:rPr>
        <w:t>par</w:t>
      </w:r>
      <w:r w:rsidRPr="000A6916">
        <w:rPr>
          <w:lang w:val="pl-PL"/>
        </w:rPr>
        <w:t>tnerstwie gospodarczym, Dz.U. L 330</w:t>
      </w:r>
      <w:r w:rsidR="000A6916" w:rsidRPr="000A6916">
        <w:rPr>
          <w:lang w:val="pl-PL"/>
        </w:rPr>
        <w:t xml:space="preserve"> z</w:t>
      </w:r>
      <w:r w:rsidR="000A6916">
        <w:rPr>
          <w:lang w:val="pl-PL"/>
        </w:rPr>
        <w:t> </w:t>
      </w:r>
      <w:r w:rsidR="000A6916" w:rsidRPr="000A6916">
        <w:rPr>
          <w:lang w:val="pl-PL"/>
        </w:rPr>
        <w:t>2</w:t>
      </w:r>
      <w:r w:rsidRPr="000A6916">
        <w:rPr>
          <w:lang w:val="pl-PL"/>
        </w:rPr>
        <w:t>7.12.2018, s. 1</w:t>
      </w:r>
      <w:r w:rsidR="000A6916" w:rsidRPr="000A6916">
        <w:rPr>
          <w:lang w:val="pl-PL"/>
        </w:rPr>
        <w:t>. W</w:t>
      </w:r>
      <w:r w:rsidR="000A6916">
        <w:rPr>
          <w:lang w:val="pl-PL"/>
        </w:rPr>
        <w:t> </w:t>
      </w:r>
      <w:r w:rsidR="000A6916" w:rsidRPr="000A6916">
        <w:rPr>
          <w:lang w:val="pl-PL"/>
        </w:rPr>
        <w:t>ram</w:t>
      </w:r>
      <w:r w:rsidRPr="000A6916">
        <w:rPr>
          <w:lang w:val="pl-PL"/>
        </w:rPr>
        <w:t>ach umowy</w:t>
      </w:r>
      <w:r w:rsidR="000A6916" w:rsidRPr="000A6916">
        <w:rPr>
          <w:lang w:val="pl-PL"/>
        </w:rPr>
        <w:t xml:space="preserve"> o</w:t>
      </w:r>
      <w:r w:rsidR="000A6916">
        <w:rPr>
          <w:lang w:val="pl-PL"/>
        </w:rPr>
        <w:t> </w:t>
      </w:r>
      <w:r w:rsidR="000A6916" w:rsidRPr="000A6916">
        <w:rPr>
          <w:lang w:val="pl-PL"/>
        </w:rPr>
        <w:t>par</w:t>
      </w:r>
      <w:r w:rsidRPr="000A6916">
        <w:rPr>
          <w:lang w:val="pl-PL"/>
        </w:rPr>
        <w:t>tnerstwie gospodarczym ogranicza się bariery handlowe napotykane przez europejskie przedsiębiorstwa prowadzące wywóz do Japonii</w:t>
      </w:r>
      <w:r w:rsidR="000A6916" w:rsidRPr="000A6916">
        <w:rPr>
          <w:lang w:val="pl-PL"/>
        </w:rPr>
        <w:t xml:space="preserve"> i</w:t>
      </w:r>
      <w:r w:rsidR="000A6916">
        <w:rPr>
          <w:lang w:val="pl-PL"/>
        </w:rPr>
        <w:t> </w:t>
      </w:r>
      <w:r w:rsidR="000A6916" w:rsidRPr="000A6916">
        <w:rPr>
          <w:lang w:val="pl-PL"/>
        </w:rPr>
        <w:t>pop</w:t>
      </w:r>
      <w:r w:rsidRPr="000A6916">
        <w:rPr>
          <w:lang w:val="pl-PL"/>
        </w:rPr>
        <w:t>rawia się warunki, na których mogą one konkurować na tym rynku.</w:t>
      </w:r>
    </w:p>
  </w:footnote>
  <w:footnote w:id="13">
    <w:p w14:paraId="58DCB9F9" w14:textId="267B516C" w:rsidR="004A3516" w:rsidRPr="000A6916" w:rsidRDefault="004A3516"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Umowa</w:t>
      </w:r>
      <w:r w:rsidR="000A6916" w:rsidRPr="000A6916">
        <w:rPr>
          <w:lang w:val="pl-PL"/>
        </w:rPr>
        <w:t xml:space="preserve"> o</w:t>
      </w:r>
      <w:r w:rsidR="000A6916">
        <w:rPr>
          <w:lang w:val="pl-PL"/>
        </w:rPr>
        <w:t> </w:t>
      </w:r>
      <w:r w:rsidR="000A6916" w:rsidRPr="000A6916">
        <w:rPr>
          <w:lang w:val="pl-PL"/>
        </w:rPr>
        <w:t>par</w:t>
      </w:r>
      <w:r w:rsidRPr="000A6916">
        <w:rPr>
          <w:lang w:val="pl-PL"/>
        </w:rPr>
        <w:t>tnerstwie strategicznym między Unią Europejską</w:t>
      </w:r>
      <w:r w:rsidR="000A6916" w:rsidRPr="000A6916">
        <w:rPr>
          <w:lang w:val="pl-PL"/>
        </w:rPr>
        <w:t xml:space="preserve"> i</w:t>
      </w:r>
      <w:r w:rsidR="000A6916">
        <w:rPr>
          <w:lang w:val="pl-PL"/>
        </w:rPr>
        <w:t> </w:t>
      </w:r>
      <w:r w:rsidR="000A6916" w:rsidRPr="000A6916">
        <w:rPr>
          <w:lang w:val="pl-PL"/>
        </w:rPr>
        <w:t>jej</w:t>
      </w:r>
      <w:r w:rsidRPr="000A6916">
        <w:rPr>
          <w:lang w:val="pl-PL"/>
        </w:rPr>
        <w:t xml:space="preserve"> państwami członkowskimi,</w:t>
      </w:r>
      <w:r w:rsidR="000A6916" w:rsidRPr="000A6916">
        <w:rPr>
          <w:lang w:val="pl-PL"/>
        </w:rPr>
        <w:t xml:space="preserve"> z</w:t>
      </w:r>
      <w:r w:rsidR="000A6916">
        <w:rPr>
          <w:lang w:val="pl-PL"/>
        </w:rPr>
        <w:t> </w:t>
      </w:r>
      <w:r w:rsidR="000A6916" w:rsidRPr="000A6916">
        <w:rPr>
          <w:lang w:val="pl-PL"/>
        </w:rPr>
        <w:t>jed</w:t>
      </w:r>
      <w:r w:rsidRPr="000A6916">
        <w:rPr>
          <w:lang w:val="pl-PL"/>
        </w:rPr>
        <w:t>nej strony,</w:t>
      </w:r>
      <w:r w:rsidR="000A6916" w:rsidRPr="000A6916">
        <w:rPr>
          <w:lang w:val="pl-PL"/>
        </w:rPr>
        <w:t xml:space="preserve"> a</w:t>
      </w:r>
      <w:r w:rsidR="000A6916">
        <w:rPr>
          <w:lang w:val="pl-PL"/>
        </w:rPr>
        <w:t> </w:t>
      </w:r>
      <w:r w:rsidR="000A6916" w:rsidRPr="000A6916">
        <w:rPr>
          <w:lang w:val="pl-PL"/>
        </w:rPr>
        <w:t>Jap</w:t>
      </w:r>
      <w:r w:rsidRPr="000A6916">
        <w:rPr>
          <w:lang w:val="pl-PL"/>
        </w:rPr>
        <w:t>onią,</w:t>
      </w:r>
      <w:r w:rsidR="000A6916" w:rsidRPr="000A6916">
        <w:rPr>
          <w:lang w:val="pl-PL"/>
        </w:rPr>
        <w:t xml:space="preserve"> z</w:t>
      </w:r>
      <w:r w:rsidR="000A6916">
        <w:rPr>
          <w:lang w:val="pl-PL"/>
        </w:rPr>
        <w:t> </w:t>
      </w:r>
      <w:r w:rsidR="000A6916" w:rsidRPr="000A6916">
        <w:rPr>
          <w:lang w:val="pl-PL"/>
        </w:rPr>
        <w:t>dru</w:t>
      </w:r>
      <w:r w:rsidRPr="000A6916">
        <w:rPr>
          <w:lang w:val="pl-PL"/>
        </w:rPr>
        <w:t>giej strony, Dz.U. L 216</w:t>
      </w:r>
      <w:r w:rsidR="000A6916" w:rsidRPr="000A6916">
        <w:rPr>
          <w:lang w:val="pl-PL"/>
        </w:rPr>
        <w:t xml:space="preserve"> z</w:t>
      </w:r>
      <w:r w:rsidR="000A6916">
        <w:rPr>
          <w:lang w:val="pl-PL"/>
        </w:rPr>
        <w:t> </w:t>
      </w:r>
      <w:r w:rsidR="000A6916" w:rsidRPr="000A6916">
        <w:rPr>
          <w:lang w:val="pl-PL"/>
        </w:rPr>
        <w:t>2</w:t>
      </w:r>
      <w:r w:rsidRPr="000A6916">
        <w:rPr>
          <w:lang w:val="pl-PL"/>
        </w:rPr>
        <w:t>4.8.2018, s. 4 („umowa</w:t>
      </w:r>
      <w:r w:rsidR="000A6916" w:rsidRPr="000A6916">
        <w:rPr>
          <w:lang w:val="pl-PL"/>
        </w:rPr>
        <w:t xml:space="preserve"> o</w:t>
      </w:r>
      <w:r w:rsidR="000A6916">
        <w:rPr>
          <w:lang w:val="pl-PL"/>
        </w:rPr>
        <w:t> </w:t>
      </w:r>
      <w:r w:rsidR="000A6916" w:rsidRPr="000A6916">
        <w:rPr>
          <w:lang w:val="pl-PL"/>
        </w:rPr>
        <w:t>par</w:t>
      </w:r>
      <w:r w:rsidRPr="000A6916">
        <w:rPr>
          <w:lang w:val="pl-PL"/>
        </w:rPr>
        <w:t>tnerstwie strategicznym”). Umowa</w:t>
      </w:r>
      <w:r w:rsidR="000A6916" w:rsidRPr="000A6916">
        <w:rPr>
          <w:lang w:val="pl-PL"/>
        </w:rPr>
        <w:t xml:space="preserve"> o</w:t>
      </w:r>
      <w:r w:rsidR="000A6916">
        <w:rPr>
          <w:lang w:val="pl-PL"/>
        </w:rPr>
        <w:t> </w:t>
      </w:r>
      <w:r w:rsidR="000A6916" w:rsidRPr="000A6916">
        <w:rPr>
          <w:lang w:val="pl-PL"/>
        </w:rPr>
        <w:t>par</w:t>
      </w:r>
      <w:r w:rsidRPr="000A6916">
        <w:rPr>
          <w:lang w:val="pl-PL"/>
        </w:rPr>
        <w:t>tnerstwie strategicznym zapewnia ramy prawne dalszego rozwoju bliskich stosunków, jakie UE</w:t>
      </w:r>
      <w:r w:rsidR="000A6916" w:rsidRPr="000A6916">
        <w:rPr>
          <w:lang w:val="pl-PL"/>
        </w:rPr>
        <w:t xml:space="preserve"> i</w:t>
      </w:r>
      <w:r w:rsidR="000A6916">
        <w:rPr>
          <w:lang w:val="pl-PL"/>
        </w:rPr>
        <w:t> </w:t>
      </w:r>
      <w:r w:rsidR="000A6916" w:rsidRPr="000A6916">
        <w:rPr>
          <w:lang w:val="pl-PL"/>
        </w:rPr>
        <w:t>jej</w:t>
      </w:r>
      <w:r w:rsidRPr="000A6916">
        <w:rPr>
          <w:lang w:val="pl-PL"/>
        </w:rPr>
        <w:t xml:space="preserve"> państwa członkowskie od dawna utrzymują</w:t>
      </w:r>
      <w:r w:rsidR="000A6916" w:rsidRPr="000A6916">
        <w:rPr>
          <w:lang w:val="pl-PL"/>
        </w:rPr>
        <w:t xml:space="preserve"> z</w:t>
      </w:r>
      <w:r w:rsidR="000A6916">
        <w:rPr>
          <w:lang w:val="pl-PL"/>
        </w:rPr>
        <w:t> </w:t>
      </w:r>
      <w:r w:rsidR="000A6916" w:rsidRPr="000A6916">
        <w:rPr>
          <w:lang w:val="pl-PL"/>
        </w:rPr>
        <w:t>Jap</w:t>
      </w:r>
      <w:r w:rsidRPr="000A6916">
        <w:rPr>
          <w:lang w:val="pl-PL"/>
        </w:rPr>
        <w:t>onią</w:t>
      </w:r>
      <w:r w:rsidR="000A6916" w:rsidRPr="000A6916">
        <w:rPr>
          <w:lang w:val="pl-PL"/>
        </w:rPr>
        <w:t xml:space="preserve"> w</w:t>
      </w:r>
      <w:r w:rsidR="000A6916">
        <w:rPr>
          <w:lang w:val="pl-PL"/>
        </w:rPr>
        <w:t> </w:t>
      </w:r>
      <w:r w:rsidR="000A6916" w:rsidRPr="000A6916">
        <w:rPr>
          <w:lang w:val="pl-PL"/>
        </w:rPr>
        <w:t>wie</w:t>
      </w:r>
      <w:r w:rsidRPr="000A6916">
        <w:rPr>
          <w:lang w:val="pl-PL"/>
        </w:rPr>
        <w:t>lu dziedzinach,</w:t>
      </w:r>
      <w:r w:rsidR="000A6916" w:rsidRPr="000A6916">
        <w:rPr>
          <w:lang w:val="pl-PL"/>
        </w:rPr>
        <w:t xml:space="preserve"> w</w:t>
      </w:r>
      <w:r w:rsidR="000A6916">
        <w:rPr>
          <w:lang w:val="pl-PL"/>
        </w:rPr>
        <w:t> </w:t>
      </w:r>
      <w:r w:rsidR="000A6916" w:rsidRPr="000A6916">
        <w:rPr>
          <w:lang w:val="pl-PL"/>
        </w:rPr>
        <w:t>tym</w:t>
      </w:r>
      <w:r w:rsidRPr="000A6916">
        <w:rPr>
          <w:lang w:val="pl-PL"/>
        </w:rPr>
        <w:t xml:space="preserve"> m.in.</w:t>
      </w:r>
      <w:r w:rsidR="000A6916" w:rsidRPr="000A6916">
        <w:rPr>
          <w:lang w:val="pl-PL"/>
        </w:rPr>
        <w:t xml:space="preserve"> w</w:t>
      </w:r>
      <w:r w:rsidR="000A6916">
        <w:rPr>
          <w:lang w:val="pl-PL"/>
        </w:rPr>
        <w:t> </w:t>
      </w:r>
      <w:r w:rsidR="000A6916" w:rsidRPr="000A6916">
        <w:rPr>
          <w:lang w:val="pl-PL"/>
        </w:rPr>
        <w:t>dzi</w:t>
      </w:r>
      <w:r w:rsidRPr="000A6916">
        <w:rPr>
          <w:lang w:val="pl-PL"/>
        </w:rPr>
        <w:t>edzinie dialogu politycznego, energii, transportu, praw człowieka, edukacji, nauki</w:t>
      </w:r>
      <w:r w:rsidR="000A6916" w:rsidRPr="000A6916">
        <w:rPr>
          <w:lang w:val="pl-PL"/>
        </w:rPr>
        <w:t xml:space="preserve"> i</w:t>
      </w:r>
      <w:r w:rsidR="000A6916">
        <w:rPr>
          <w:lang w:val="pl-PL"/>
        </w:rPr>
        <w:t> </w:t>
      </w:r>
      <w:r w:rsidR="000A6916" w:rsidRPr="000A6916">
        <w:rPr>
          <w:lang w:val="pl-PL"/>
        </w:rPr>
        <w:t>tec</w:t>
      </w:r>
      <w:r w:rsidRPr="000A6916">
        <w:rPr>
          <w:lang w:val="pl-PL"/>
        </w:rPr>
        <w:t>hnologii, sprawiedliwości, azylu</w:t>
      </w:r>
      <w:r w:rsidR="000A6916" w:rsidRPr="000A6916">
        <w:rPr>
          <w:lang w:val="pl-PL"/>
        </w:rPr>
        <w:t xml:space="preserve"> i</w:t>
      </w:r>
      <w:r w:rsidR="000A6916">
        <w:rPr>
          <w:lang w:val="pl-PL"/>
        </w:rPr>
        <w:t> </w:t>
      </w:r>
      <w:r w:rsidR="000A6916" w:rsidRPr="000A6916">
        <w:rPr>
          <w:lang w:val="pl-PL"/>
        </w:rPr>
        <w:t>mig</w:t>
      </w:r>
      <w:r w:rsidRPr="000A6916">
        <w:rPr>
          <w:lang w:val="pl-PL"/>
        </w:rPr>
        <w:t>racji.</w:t>
      </w:r>
    </w:p>
  </w:footnote>
  <w:footnote w:id="14">
    <w:p w14:paraId="51AAD4DB" w14:textId="3D678AA8" w:rsidR="004A3516" w:rsidRPr="000A6916" w:rsidRDefault="004A3516" w:rsidP="001B0AE9">
      <w:pPr>
        <w:pStyle w:val="Footnote"/>
        <w:jc w:val="both"/>
        <w:rPr>
          <w:lang w:val="pl-PL"/>
        </w:rPr>
      </w:pPr>
      <w:r w:rsidRPr="000A6916">
        <w:rPr>
          <w:rStyle w:val="FootnoteReference"/>
          <w:lang w:val="pl-PL"/>
        </w:rPr>
        <w:footnoteRef/>
      </w:r>
      <w:r w:rsidRPr="000A6916">
        <w:rPr>
          <w:lang w:val="pl-PL"/>
        </w:rPr>
        <w:tab/>
        <w:t xml:space="preserve"> Dostępne na stronie internetowej:</w:t>
      </w:r>
      <w:bookmarkStart w:id="3" w:name="_Hlk129296737"/>
      <w:r w:rsidRPr="000A6916">
        <w:fldChar w:fldCharType="begin"/>
      </w:r>
      <w:r w:rsidRPr="000A6916">
        <w:rPr>
          <w:lang w:val="pl-PL"/>
        </w:rPr>
        <w:instrText xml:space="preserve"> HYPERLINK "https://www.consilium.europa.eu/media/56091/%E6%9C%80%E7%B5%82%E7%89%88-jp-eu-digital-partnership-clean-final-docx.pdf" </w:instrText>
      </w:r>
      <w:r w:rsidRPr="000A6916">
        <w:fldChar w:fldCharType="separate"/>
      </w:r>
      <w:r w:rsidRPr="000A6916">
        <w:rPr>
          <w:rStyle w:val="Hyperlink"/>
          <w:lang w:val="pl-PL"/>
        </w:rPr>
        <w:t>https://www.consilium.europa.eu/media/56091/%E6%9C%80%E7%B5%82%E7%89%88-jp-eu-digital-partnership-clean-final-docx.pdf</w:t>
      </w:r>
      <w:r w:rsidRPr="000A6916">
        <w:rPr>
          <w:rStyle w:val="Hyperlink"/>
          <w:lang w:val="pl-PL"/>
        </w:rPr>
        <w:fldChar w:fldCharType="end"/>
      </w:r>
      <w:bookmarkEnd w:id="3"/>
      <w:r w:rsidRPr="000A6916">
        <w:rPr>
          <w:lang w:val="pl-PL"/>
        </w:rPr>
        <w:t>. Partnerstwo cyfrowe stanowi forum, które będzie służyło do wyznaczania kierunku politycznego</w:t>
      </w:r>
      <w:r w:rsidR="000A6916" w:rsidRPr="000A6916">
        <w:rPr>
          <w:lang w:val="pl-PL"/>
        </w:rPr>
        <w:t xml:space="preserve"> i</w:t>
      </w:r>
      <w:r w:rsidR="000A6916">
        <w:rPr>
          <w:lang w:val="pl-PL"/>
        </w:rPr>
        <w:t> </w:t>
      </w:r>
      <w:r w:rsidR="000A6916" w:rsidRPr="000A6916">
        <w:rPr>
          <w:lang w:val="pl-PL"/>
        </w:rPr>
        <w:t>będ</w:t>
      </w:r>
      <w:r w:rsidRPr="000A6916">
        <w:rPr>
          <w:lang w:val="pl-PL"/>
        </w:rPr>
        <w:t>zie napędzać wspólne prace</w:t>
      </w:r>
      <w:r w:rsidR="000A6916" w:rsidRPr="000A6916">
        <w:rPr>
          <w:lang w:val="pl-PL"/>
        </w:rPr>
        <w:t xml:space="preserve"> w</w:t>
      </w:r>
      <w:r w:rsidR="000A6916">
        <w:rPr>
          <w:lang w:val="pl-PL"/>
        </w:rPr>
        <w:t> </w:t>
      </w:r>
      <w:r w:rsidR="000A6916" w:rsidRPr="000A6916">
        <w:rPr>
          <w:lang w:val="pl-PL"/>
        </w:rPr>
        <w:t>zak</w:t>
      </w:r>
      <w:r w:rsidRPr="000A6916">
        <w:rPr>
          <w:lang w:val="pl-PL"/>
        </w:rPr>
        <w:t>resie technologii cyfrowych</w:t>
      </w:r>
      <w:r w:rsidR="000A6916" w:rsidRPr="000A6916">
        <w:rPr>
          <w:lang w:val="pl-PL"/>
        </w:rPr>
        <w:t xml:space="preserve"> w</w:t>
      </w:r>
      <w:r w:rsidR="000A6916">
        <w:rPr>
          <w:lang w:val="pl-PL"/>
        </w:rPr>
        <w:t> </w:t>
      </w:r>
      <w:r w:rsidR="000A6916" w:rsidRPr="000A6916">
        <w:rPr>
          <w:lang w:val="pl-PL"/>
        </w:rPr>
        <w:t>obs</w:t>
      </w:r>
      <w:r w:rsidRPr="000A6916">
        <w:rPr>
          <w:lang w:val="pl-PL"/>
        </w:rPr>
        <w:t>zarach takich jak bezpieczna sieć 5G, technologie „łączności wykraczającej poza 5G”/sieć 6G, bezpieczne</w:t>
      </w:r>
      <w:r w:rsidR="000A6916" w:rsidRPr="000A6916">
        <w:rPr>
          <w:lang w:val="pl-PL"/>
        </w:rPr>
        <w:t xml:space="preserve"> i</w:t>
      </w:r>
      <w:r w:rsidR="000A6916">
        <w:rPr>
          <w:lang w:val="pl-PL"/>
        </w:rPr>
        <w:t> </w:t>
      </w:r>
      <w:r w:rsidR="000A6916" w:rsidRPr="000A6916">
        <w:rPr>
          <w:lang w:val="pl-PL"/>
        </w:rPr>
        <w:t>ety</w:t>
      </w:r>
      <w:r w:rsidRPr="000A6916">
        <w:rPr>
          <w:lang w:val="pl-PL"/>
        </w:rPr>
        <w:t>czne zastosowania sztucznej inteligencji, czy też</w:t>
      </w:r>
      <w:r w:rsidR="000A6916" w:rsidRPr="000A6916">
        <w:rPr>
          <w:lang w:val="pl-PL"/>
        </w:rPr>
        <w:t xml:space="preserve"> w</w:t>
      </w:r>
      <w:r w:rsidR="000A6916">
        <w:rPr>
          <w:lang w:val="pl-PL"/>
        </w:rPr>
        <w:t> </w:t>
      </w:r>
      <w:r w:rsidR="000A6916" w:rsidRPr="000A6916">
        <w:rPr>
          <w:lang w:val="pl-PL"/>
        </w:rPr>
        <w:t>zak</w:t>
      </w:r>
      <w:r w:rsidRPr="000A6916">
        <w:rPr>
          <w:lang w:val="pl-PL"/>
        </w:rPr>
        <w:t>resie odporności światowych łańcuchów dostaw</w:t>
      </w:r>
      <w:r w:rsidR="000A6916" w:rsidRPr="000A6916">
        <w:rPr>
          <w:lang w:val="pl-PL"/>
        </w:rPr>
        <w:t xml:space="preserve"> w</w:t>
      </w:r>
      <w:r w:rsidR="000A6916">
        <w:rPr>
          <w:lang w:val="pl-PL"/>
        </w:rPr>
        <w:t> </w:t>
      </w:r>
      <w:r w:rsidR="000A6916" w:rsidRPr="000A6916">
        <w:rPr>
          <w:lang w:val="pl-PL"/>
        </w:rPr>
        <w:t>bra</w:t>
      </w:r>
      <w:r w:rsidRPr="000A6916">
        <w:rPr>
          <w:lang w:val="pl-PL"/>
        </w:rPr>
        <w:t>nży półprzewodników.</w:t>
      </w:r>
      <w:r w:rsidR="000A6916" w:rsidRPr="000A6916">
        <w:rPr>
          <w:lang w:val="pl-PL"/>
        </w:rPr>
        <w:t xml:space="preserve"> </w:t>
      </w:r>
    </w:p>
  </w:footnote>
  <w:footnote w:id="15">
    <w:p w14:paraId="431038BB" w14:textId="024A1E94" w:rsidR="004A3516" w:rsidRPr="000A6916" w:rsidRDefault="004A3516"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 xml:space="preserve">Zob. np. </w:t>
      </w:r>
      <w:hyperlink r:id="rId2" w:history="1">
        <w:r w:rsidRPr="000A6916">
          <w:rPr>
            <w:rStyle w:val="Hyperlink"/>
            <w:lang w:val="pl-PL"/>
          </w:rPr>
          <w:t>https://policy.trade.ec.europa.eu/news/eu-and-japan-start-negotiations-include-rules-cross-border-data-flows-their-economic-partnership-2022-10-07_en</w:t>
        </w:r>
      </w:hyperlink>
      <w:r w:rsidRPr="000A6916">
        <w:rPr>
          <w:lang w:val="pl-PL"/>
        </w:rPr>
        <w:t xml:space="preserve"> </w:t>
      </w:r>
    </w:p>
  </w:footnote>
  <w:footnote w:id="16">
    <w:p w14:paraId="605D2BB5" w14:textId="51C8EB81" w:rsidR="004A3516" w:rsidRPr="000A6916" w:rsidRDefault="004A3516"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Deklaracja OECD</w:t>
      </w:r>
      <w:r w:rsidR="000A6916" w:rsidRPr="000A6916">
        <w:rPr>
          <w:lang w:val="pl-PL"/>
        </w:rPr>
        <w:t xml:space="preserve"> z</w:t>
      </w:r>
      <w:r w:rsidR="000A6916">
        <w:rPr>
          <w:lang w:val="pl-PL"/>
        </w:rPr>
        <w:t> </w:t>
      </w:r>
      <w:r w:rsidR="000A6916" w:rsidRPr="000A6916">
        <w:rPr>
          <w:lang w:val="pl-PL"/>
        </w:rPr>
        <w:t>dni</w:t>
      </w:r>
      <w:r w:rsidRPr="000A6916">
        <w:rPr>
          <w:lang w:val="pl-PL"/>
        </w:rPr>
        <w:t>a 14 grudnia 2022</w:t>
      </w:r>
      <w:r w:rsidR="000A6916" w:rsidRPr="000A6916">
        <w:rPr>
          <w:lang w:val="pl-PL"/>
        </w:rPr>
        <w:t> </w:t>
      </w:r>
      <w:r w:rsidRPr="000A6916">
        <w:rPr>
          <w:lang w:val="pl-PL"/>
        </w:rPr>
        <w:t>r. dotycząca dostępu rządowego do danych osobowych znajdujących się</w:t>
      </w:r>
      <w:r w:rsidR="000A6916" w:rsidRPr="000A6916">
        <w:rPr>
          <w:lang w:val="pl-PL"/>
        </w:rPr>
        <w:t xml:space="preserve"> w</w:t>
      </w:r>
      <w:r w:rsidR="000A6916">
        <w:rPr>
          <w:lang w:val="pl-PL"/>
        </w:rPr>
        <w:t> </w:t>
      </w:r>
      <w:r w:rsidR="000A6916" w:rsidRPr="000A6916">
        <w:rPr>
          <w:lang w:val="pl-PL"/>
        </w:rPr>
        <w:t>pos</w:t>
      </w:r>
      <w:r w:rsidRPr="000A6916">
        <w:rPr>
          <w:lang w:val="pl-PL"/>
        </w:rPr>
        <w:t>iadaniu podmiotów sektora prywatnego.</w:t>
      </w:r>
    </w:p>
  </w:footnote>
  <w:footnote w:id="17">
    <w:p w14:paraId="63CE0513" w14:textId="7412BFE4" w:rsidR="00BC1349" w:rsidRPr="000A6916" w:rsidRDefault="00BC1349" w:rsidP="00BC134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Motywy 180–183</w:t>
      </w:r>
      <w:r w:rsidR="000A6916" w:rsidRPr="000A6916">
        <w:rPr>
          <w:lang w:val="pl-PL"/>
        </w:rPr>
        <w:t xml:space="preserve"> i</w:t>
      </w:r>
      <w:r w:rsidR="000A6916">
        <w:rPr>
          <w:lang w:val="pl-PL"/>
        </w:rPr>
        <w:t> </w:t>
      </w:r>
      <w:r w:rsidR="000A6916" w:rsidRPr="000A6916">
        <w:rPr>
          <w:lang w:val="pl-PL"/>
        </w:rPr>
        <w:t>art</w:t>
      </w:r>
      <w:r w:rsidRPr="000A6916">
        <w:rPr>
          <w:lang w:val="pl-PL"/>
        </w:rPr>
        <w:t>.</w:t>
      </w:r>
      <w:r w:rsidR="000A6916" w:rsidRPr="000A6916">
        <w:rPr>
          <w:lang w:val="pl-PL"/>
        </w:rPr>
        <w:t> </w:t>
      </w:r>
      <w:r w:rsidRPr="000A6916">
        <w:rPr>
          <w:lang w:val="pl-PL"/>
        </w:rPr>
        <w:t>3 ust.</w:t>
      </w:r>
      <w:r w:rsidR="000A6916" w:rsidRPr="000A6916">
        <w:rPr>
          <w:lang w:val="pl-PL"/>
        </w:rPr>
        <w:t> </w:t>
      </w:r>
      <w:r w:rsidRPr="000A6916">
        <w:rPr>
          <w:lang w:val="pl-PL"/>
        </w:rPr>
        <w:t xml:space="preserve">4 decyzji. </w:t>
      </w:r>
    </w:p>
  </w:footnote>
  <w:footnote w:id="18">
    <w:p w14:paraId="2619CE5C" w14:textId="77777777" w:rsidR="00B37707" w:rsidRPr="000A6916" w:rsidRDefault="00B37707"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 xml:space="preserve">Tłumaczenie na język angielski jest dostępne pod adresem: </w:t>
      </w:r>
      <w:hyperlink r:id="rId3" w:history="1">
        <w:r w:rsidRPr="000A6916">
          <w:rPr>
            <w:rStyle w:val="Hyperlink"/>
            <w:lang w:val="pl-PL"/>
          </w:rPr>
          <w:t>https://www.ppc.go.jp/files/pdf/APPI_english.pdf</w:t>
        </w:r>
      </w:hyperlink>
      <w:r w:rsidRPr="000A6916">
        <w:rPr>
          <w:lang w:val="pl-PL"/>
        </w:rPr>
        <w:t xml:space="preserve"> </w:t>
      </w:r>
    </w:p>
  </w:footnote>
  <w:footnote w:id="19">
    <w:p w14:paraId="470E5A51" w14:textId="5F1381DA" w:rsidR="00B37707" w:rsidRPr="000A6916" w:rsidRDefault="00B37707"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 xml:space="preserve">Tłumaczenie na język angielski jest dostępne pod adresem: </w:t>
      </w:r>
      <w:hyperlink r:id="rId4" w:history="1">
        <w:r w:rsidRPr="000A6916">
          <w:rPr>
            <w:rStyle w:val="Hyperlink"/>
            <w:lang w:val="pl-PL"/>
          </w:rPr>
          <w:t>https://www.japaneselawtranslation.go.jp/ja/laws/view/4241</w:t>
        </w:r>
      </w:hyperlink>
      <w:r w:rsidRPr="000A6916">
        <w:rPr>
          <w:lang w:val="pl-PL"/>
        </w:rPr>
        <w:t>.</w:t>
      </w:r>
    </w:p>
  </w:footnote>
  <w:footnote w:id="20">
    <w:p w14:paraId="528CDFA2" w14:textId="2288AF4D" w:rsidR="00B37707" w:rsidRPr="000A6916" w:rsidRDefault="00B37707"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Art. 16 ust.</w:t>
      </w:r>
      <w:r w:rsidR="000A6916" w:rsidRPr="000A6916">
        <w:rPr>
          <w:lang w:val="pl-PL"/>
        </w:rPr>
        <w:t> </w:t>
      </w:r>
      <w:r w:rsidRPr="000A6916">
        <w:rPr>
          <w:lang w:val="pl-PL"/>
        </w:rPr>
        <w:t>4</w:t>
      </w:r>
      <w:r w:rsidR="000A6916" w:rsidRPr="000A6916">
        <w:rPr>
          <w:lang w:val="pl-PL"/>
        </w:rPr>
        <w:t xml:space="preserve"> i</w:t>
      </w:r>
      <w:r w:rsidR="000A6916">
        <w:rPr>
          <w:lang w:val="pl-PL"/>
        </w:rPr>
        <w:t> </w:t>
      </w:r>
      <w:r w:rsidR="000A6916" w:rsidRPr="000A6916">
        <w:rPr>
          <w:lang w:val="pl-PL"/>
        </w:rPr>
        <w:t>art</w:t>
      </w:r>
      <w:r w:rsidRPr="000A6916">
        <w:rPr>
          <w:lang w:val="pl-PL"/>
        </w:rPr>
        <w:t>.</w:t>
      </w:r>
      <w:r w:rsidR="000A6916" w:rsidRPr="000A6916">
        <w:rPr>
          <w:lang w:val="pl-PL"/>
        </w:rPr>
        <w:t> </w:t>
      </w:r>
      <w:r w:rsidRPr="000A6916">
        <w:rPr>
          <w:lang w:val="pl-PL"/>
        </w:rPr>
        <w:t>28 ust.</w:t>
      </w:r>
      <w:r w:rsidR="000A6916" w:rsidRPr="000A6916">
        <w:rPr>
          <w:lang w:val="pl-PL"/>
        </w:rPr>
        <w:t> </w:t>
      </w:r>
      <w:r w:rsidRPr="000A6916">
        <w:rPr>
          <w:lang w:val="pl-PL"/>
        </w:rPr>
        <w:t>2 zmienionej ustawy</w:t>
      </w:r>
      <w:r w:rsidR="000A6916" w:rsidRPr="000A6916">
        <w:rPr>
          <w:lang w:val="pl-PL"/>
        </w:rPr>
        <w:t xml:space="preserve"> o</w:t>
      </w:r>
      <w:r w:rsidR="000A6916">
        <w:rPr>
          <w:lang w:val="pl-PL"/>
        </w:rPr>
        <w:t> </w:t>
      </w:r>
      <w:r w:rsidR="000A6916" w:rsidRPr="000A6916">
        <w:rPr>
          <w:lang w:val="pl-PL"/>
        </w:rPr>
        <w:t>och</w:t>
      </w:r>
      <w:r w:rsidRPr="000A6916">
        <w:rPr>
          <w:lang w:val="pl-PL"/>
        </w:rPr>
        <w:t xml:space="preserve">ronie informacji osobowych. </w:t>
      </w:r>
    </w:p>
  </w:footnote>
  <w:footnote w:id="21">
    <w:p w14:paraId="54382598" w14:textId="07749911" w:rsidR="001B0AE9" w:rsidRPr="000A6916" w:rsidRDefault="001B0AE9"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W szczególności</w:t>
      </w:r>
      <w:r w:rsidR="000A6916" w:rsidRPr="000A6916">
        <w:rPr>
          <w:lang w:val="pl-PL"/>
        </w:rPr>
        <w:t xml:space="preserve"> w</w:t>
      </w:r>
      <w:r w:rsidR="000A6916">
        <w:rPr>
          <w:lang w:val="pl-PL"/>
        </w:rPr>
        <w:t> </w:t>
      </w:r>
      <w:r w:rsidR="000A6916" w:rsidRPr="000A6916">
        <w:rPr>
          <w:lang w:val="pl-PL"/>
        </w:rPr>
        <w:t>ram</w:t>
      </w:r>
      <w:r w:rsidRPr="000A6916">
        <w:rPr>
          <w:lang w:val="pl-PL"/>
        </w:rPr>
        <w:t>ach zmiany ustawy</w:t>
      </w:r>
      <w:r w:rsidR="000A6916" w:rsidRPr="000A6916">
        <w:rPr>
          <w:lang w:val="pl-PL"/>
        </w:rPr>
        <w:t xml:space="preserve"> o</w:t>
      </w:r>
      <w:r w:rsidR="000A6916">
        <w:rPr>
          <w:lang w:val="pl-PL"/>
        </w:rPr>
        <w:t> </w:t>
      </w:r>
      <w:r w:rsidR="000A6916" w:rsidRPr="000A6916">
        <w:rPr>
          <w:lang w:val="pl-PL"/>
        </w:rPr>
        <w:t>och</w:t>
      </w:r>
      <w:r w:rsidRPr="000A6916">
        <w:rPr>
          <w:lang w:val="pl-PL"/>
        </w:rPr>
        <w:t>ronie informacji osobowych</w:t>
      </w:r>
      <w:r w:rsidR="000A6916" w:rsidRPr="000A6916">
        <w:rPr>
          <w:lang w:val="pl-PL"/>
        </w:rPr>
        <w:t xml:space="preserve"> w</w:t>
      </w:r>
      <w:r w:rsidR="000A6916">
        <w:rPr>
          <w:lang w:val="pl-PL"/>
        </w:rPr>
        <w:t> </w:t>
      </w:r>
      <w:r w:rsidR="000A6916" w:rsidRPr="000A6916">
        <w:rPr>
          <w:lang w:val="pl-PL"/>
        </w:rPr>
        <w:t>2</w:t>
      </w:r>
      <w:r w:rsidRPr="000A6916">
        <w:rPr>
          <w:lang w:val="pl-PL"/>
        </w:rPr>
        <w:t>021</w:t>
      </w:r>
      <w:r w:rsidR="000A6916" w:rsidRPr="000A6916">
        <w:rPr>
          <w:lang w:val="pl-PL"/>
        </w:rPr>
        <w:t> </w:t>
      </w:r>
      <w:r w:rsidRPr="000A6916">
        <w:rPr>
          <w:lang w:val="pl-PL"/>
        </w:rPr>
        <w:t>r. połączono ustawę</w:t>
      </w:r>
      <w:r w:rsidR="000A6916" w:rsidRPr="000A6916">
        <w:rPr>
          <w:lang w:val="pl-PL"/>
        </w:rPr>
        <w:t xml:space="preserve"> o</w:t>
      </w:r>
      <w:r w:rsidR="000A6916">
        <w:rPr>
          <w:lang w:val="pl-PL"/>
        </w:rPr>
        <w:t> </w:t>
      </w:r>
      <w:r w:rsidR="000A6916" w:rsidRPr="000A6916">
        <w:rPr>
          <w:lang w:val="pl-PL"/>
        </w:rPr>
        <w:t>och</w:t>
      </w:r>
      <w:r w:rsidRPr="000A6916">
        <w:rPr>
          <w:lang w:val="pl-PL"/>
        </w:rPr>
        <w:t>ronie informacji osobowych, ustawę</w:t>
      </w:r>
      <w:r w:rsidR="000A6916" w:rsidRPr="000A6916">
        <w:rPr>
          <w:lang w:val="pl-PL"/>
        </w:rPr>
        <w:t xml:space="preserve"> o</w:t>
      </w:r>
      <w:r w:rsidR="000A6916">
        <w:rPr>
          <w:lang w:val="pl-PL"/>
        </w:rPr>
        <w:t> </w:t>
      </w:r>
      <w:r w:rsidR="000A6916" w:rsidRPr="000A6916">
        <w:rPr>
          <w:lang w:val="pl-PL"/>
        </w:rPr>
        <w:t>och</w:t>
      </w:r>
      <w:r w:rsidRPr="000A6916">
        <w:rPr>
          <w:lang w:val="pl-PL"/>
        </w:rPr>
        <w:t>ronie informacji osobowych znajdujących się</w:t>
      </w:r>
      <w:r w:rsidR="000A6916" w:rsidRPr="000A6916">
        <w:rPr>
          <w:lang w:val="pl-PL"/>
        </w:rPr>
        <w:t xml:space="preserve"> w</w:t>
      </w:r>
      <w:r w:rsidR="000A6916">
        <w:rPr>
          <w:lang w:val="pl-PL"/>
        </w:rPr>
        <w:t> </w:t>
      </w:r>
      <w:r w:rsidR="000A6916" w:rsidRPr="000A6916">
        <w:rPr>
          <w:lang w:val="pl-PL"/>
        </w:rPr>
        <w:t>pos</w:t>
      </w:r>
      <w:r w:rsidRPr="000A6916">
        <w:rPr>
          <w:lang w:val="pl-PL"/>
        </w:rPr>
        <w:t>iadaniu organów administracji, ustawę</w:t>
      </w:r>
      <w:r w:rsidR="000A6916" w:rsidRPr="000A6916">
        <w:rPr>
          <w:lang w:val="pl-PL"/>
        </w:rPr>
        <w:t xml:space="preserve"> o</w:t>
      </w:r>
      <w:r w:rsidR="000A6916">
        <w:rPr>
          <w:lang w:val="pl-PL"/>
        </w:rPr>
        <w:t> </w:t>
      </w:r>
      <w:r w:rsidR="000A6916" w:rsidRPr="000A6916">
        <w:rPr>
          <w:lang w:val="pl-PL"/>
        </w:rPr>
        <w:t>och</w:t>
      </w:r>
      <w:r w:rsidRPr="000A6916">
        <w:rPr>
          <w:lang w:val="pl-PL"/>
        </w:rPr>
        <w:t>ronie informacji osobowych znajdujących się</w:t>
      </w:r>
      <w:r w:rsidR="000A6916" w:rsidRPr="000A6916">
        <w:rPr>
          <w:lang w:val="pl-PL"/>
        </w:rPr>
        <w:t xml:space="preserve"> w</w:t>
      </w:r>
      <w:r w:rsidR="000A6916">
        <w:rPr>
          <w:lang w:val="pl-PL"/>
        </w:rPr>
        <w:t> </w:t>
      </w:r>
      <w:r w:rsidR="000A6916" w:rsidRPr="000A6916">
        <w:rPr>
          <w:lang w:val="pl-PL"/>
        </w:rPr>
        <w:t>pos</w:t>
      </w:r>
      <w:r w:rsidRPr="000A6916">
        <w:rPr>
          <w:lang w:val="pl-PL"/>
        </w:rPr>
        <w:t>iadaniu niezależnych agencji administracyjnych itp.</w:t>
      </w:r>
      <w:r w:rsidR="000A6916" w:rsidRPr="000A6916">
        <w:rPr>
          <w:lang w:val="pl-PL"/>
        </w:rPr>
        <w:t xml:space="preserve"> w</w:t>
      </w:r>
      <w:r w:rsidR="000A6916">
        <w:rPr>
          <w:lang w:val="pl-PL"/>
        </w:rPr>
        <w:t> </w:t>
      </w:r>
      <w:r w:rsidR="000A6916" w:rsidRPr="000A6916">
        <w:rPr>
          <w:lang w:val="pl-PL"/>
        </w:rPr>
        <w:t>jed</w:t>
      </w:r>
      <w:r w:rsidRPr="000A6916">
        <w:rPr>
          <w:lang w:val="pl-PL"/>
        </w:rPr>
        <w:t>ną ustawę</w:t>
      </w:r>
      <w:r w:rsidR="000A6916" w:rsidRPr="000A6916">
        <w:rPr>
          <w:lang w:val="pl-PL"/>
        </w:rPr>
        <w:t xml:space="preserve"> o</w:t>
      </w:r>
      <w:r w:rsidR="000A6916">
        <w:rPr>
          <w:lang w:val="pl-PL"/>
        </w:rPr>
        <w:t> </w:t>
      </w:r>
      <w:r w:rsidR="000A6916" w:rsidRPr="000A6916">
        <w:rPr>
          <w:lang w:val="pl-PL"/>
        </w:rPr>
        <w:t>och</w:t>
      </w:r>
      <w:r w:rsidRPr="000A6916">
        <w:rPr>
          <w:lang w:val="pl-PL"/>
        </w:rPr>
        <w:t>ronie danych, która ma zastosowanie zarówno do podmiotów prywatnych, jak i do organów publicznych oraz</w:t>
      </w:r>
      <w:r w:rsidR="000A6916" w:rsidRPr="000A6916">
        <w:rPr>
          <w:lang w:val="pl-PL"/>
        </w:rPr>
        <w:t xml:space="preserve"> w</w:t>
      </w:r>
      <w:r w:rsidR="000A6916">
        <w:rPr>
          <w:lang w:val="pl-PL"/>
        </w:rPr>
        <w:t> </w:t>
      </w:r>
      <w:r w:rsidR="000A6916" w:rsidRPr="000A6916">
        <w:rPr>
          <w:lang w:val="pl-PL"/>
        </w:rPr>
        <w:t>któ</w:t>
      </w:r>
      <w:r w:rsidRPr="000A6916">
        <w:rPr>
          <w:lang w:val="pl-PL"/>
        </w:rPr>
        <w:t>rej odpowiednio zwiększa się właściwość Komisji ds. Ochrony Informacji Osobowych. Zmiana ta weszła</w:t>
      </w:r>
      <w:r w:rsidR="000A6916" w:rsidRPr="000A6916">
        <w:rPr>
          <w:lang w:val="pl-PL"/>
        </w:rPr>
        <w:t xml:space="preserve"> w</w:t>
      </w:r>
      <w:r w:rsidR="000A6916">
        <w:rPr>
          <w:lang w:val="pl-PL"/>
        </w:rPr>
        <w:t> </w:t>
      </w:r>
      <w:r w:rsidR="000A6916" w:rsidRPr="000A6916">
        <w:rPr>
          <w:lang w:val="pl-PL"/>
        </w:rPr>
        <w:t>życ</w:t>
      </w:r>
      <w:r w:rsidRPr="000A6916">
        <w:rPr>
          <w:lang w:val="pl-PL"/>
        </w:rPr>
        <w:t>ie 1 kwietnia 2023</w:t>
      </w:r>
      <w:r w:rsidR="000A6916" w:rsidRPr="000A6916">
        <w:rPr>
          <w:lang w:val="pl-PL"/>
        </w:rPr>
        <w:t> </w:t>
      </w:r>
      <w:r w:rsidRPr="000A6916">
        <w:rPr>
          <w:lang w:val="pl-PL"/>
        </w:rPr>
        <w:t>r., po tym jak jej części weszły</w:t>
      </w:r>
      <w:r w:rsidR="000A6916" w:rsidRPr="000A6916">
        <w:rPr>
          <w:lang w:val="pl-PL"/>
        </w:rPr>
        <w:t xml:space="preserve"> w</w:t>
      </w:r>
      <w:r w:rsidR="000A6916">
        <w:rPr>
          <w:lang w:val="pl-PL"/>
        </w:rPr>
        <w:t> </w:t>
      </w:r>
      <w:r w:rsidR="000A6916" w:rsidRPr="000A6916">
        <w:rPr>
          <w:lang w:val="pl-PL"/>
        </w:rPr>
        <w:t>życ</w:t>
      </w:r>
      <w:r w:rsidRPr="000A6916">
        <w:rPr>
          <w:lang w:val="pl-PL"/>
        </w:rPr>
        <w:t>ie 1 września 2021</w:t>
      </w:r>
      <w:r w:rsidR="000A6916" w:rsidRPr="000A6916">
        <w:rPr>
          <w:lang w:val="pl-PL"/>
        </w:rPr>
        <w:t> </w:t>
      </w:r>
      <w:r w:rsidRPr="000A6916">
        <w:rPr>
          <w:lang w:val="pl-PL"/>
        </w:rPr>
        <w:t>r.</w:t>
      </w:r>
      <w:r w:rsidR="000A6916" w:rsidRPr="000A6916">
        <w:rPr>
          <w:lang w:val="pl-PL"/>
        </w:rPr>
        <w:t xml:space="preserve"> i</w:t>
      </w:r>
      <w:r w:rsidR="000A6916">
        <w:rPr>
          <w:lang w:val="pl-PL"/>
        </w:rPr>
        <w:t> </w:t>
      </w:r>
      <w:r w:rsidR="000A6916" w:rsidRPr="000A6916">
        <w:rPr>
          <w:lang w:val="pl-PL"/>
        </w:rPr>
        <w:t>1</w:t>
      </w:r>
      <w:r w:rsidRPr="000A6916">
        <w:rPr>
          <w:lang w:val="pl-PL"/>
        </w:rPr>
        <w:t xml:space="preserve"> kwietnia 2022</w:t>
      </w:r>
      <w:r w:rsidR="000A6916" w:rsidRPr="000A6916">
        <w:rPr>
          <w:lang w:val="pl-PL"/>
        </w:rPr>
        <w:t> </w:t>
      </w:r>
      <w:r w:rsidRPr="000A6916">
        <w:rPr>
          <w:lang w:val="pl-PL"/>
        </w:rPr>
        <w:t>r.</w:t>
      </w:r>
    </w:p>
  </w:footnote>
  <w:footnote w:id="22">
    <w:p w14:paraId="684FABF2" w14:textId="619BFB53" w:rsidR="004A3516" w:rsidRPr="000A6916" w:rsidRDefault="004A3516"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W zmienionej ustawie</w:t>
      </w:r>
      <w:r w:rsidR="000A6916" w:rsidRPr="000A6916">
        <w:rPr>
          <w:lang w:val="pl-PL"/>
        </w:rPr>
        <w:t xml:space="preserve"> o</w:t>
      </w:r>
      <w:r w:rsidR="000A6916">
        <w:rPr>
          <w:lang w:val="pl-PL"/>
        </w:rPr>
        <w:t> </w:t>
      </w:r>
      <w:r w:rsidR="000A6916" w:rsidRPr="000A6916">
        <w:rPr>
          <w:lang w:val="pl-PL"/>
        </w:rPr>
        <w:t>och</w:t>
      </w:r>
      <w:r w:rsidRPr="000A6916">
        <w:rPr>
          <w:lang w:val="pl-PL"/>
        </w:rPr>
        <w:t xml:space="preserve">ronie informacji osobowych termin „pseudonimiczne informacje osobowe” zdefiniowano jako </w:t>
      </w:r>
      <w:bookmarkStart w:id="4" w:name="_Hlk116373501"/>
      <w:r w:rsidRPr="000A6916">
        <w:rPr>
          <w:lang w:val="pl-PL"/>
        </w:rPr>
        <w:t>informacje dotyczące osoby fizycznej, które można „przygotować, tak aby na ich podstawie nie można było zidentyfikować konkretnej osoby fizycznej, gdy informacje te nie są zestawione</w:t>
      </w:r>
      <w:r w:rsidR="000A6916" w:rsidRPr="000A6916">
        <w:rPr>
          <w:lang w:val="pl-PL"/>
        </w:rPr>
        <w:t xml:space="preserve"> z</w:t>
      </w:r>
      <w:r w:rsidR="000A6916">
        <w:rPr>
          <w:lang w:val="pl-PL"/>
        </w:rPr>
        <w:t> </w:t>
      </w:r>
      <w:r w:rsidR="000A6916" w:rsidRPr="000A6916">
        <w:rPr>
          <w:lang w:val="pl-PL"/>
        </w:rPr>
        <w:t>inn</w:t>
      </w:r>
      <w:r w:rsidRPr="000A6916">
        <w:rPr>
          <w:lang w:val="pl-PL"/>
        </w:rPr>
        <w:t>ymi informacjami”, za pomocą środków określonych</w:t>
      </w:r>
      <w:r w:rsidR="000A6916" w:rsidRPr="000A6916">
        <w:rPr>
          <w:lang w:val="pl-PL"/>
        </w:rPr>
        <w:t xml:space="preserve"> w</w:t>
      </w:r>
      <w:r w:rsidR="000A6916">
        <w:rPr>
          <w:lang w:val="pl-PL"/>
        </w:rPr>
        <w:t> </w:t>
      </w:r>
      <w:r w:rsidR="000A6916" w:rsidRPr="000A6916">
        <w:rPr>
          <w:lang w:val="pl-PL"/>
        </w:rPr>
        <w:t>ust</w:t>
      </w:r>
      <w:r w:rsidRPr="000A6916">
        <w:rPr>
          <w:lang w:val="pl-PL"/>
        </w:rPr>
        <w:t>awie</w:t>
      </w:r>
      <w:r w:rsidR="000A6916" w:rsidRPr="000A6916">
        <w:rPr>
          <w:lang w:val="pl-PL"/>
        </w:rPr>
        <w:t xml:space="preserve"> i</w:t>
      </w:r>
      <w:r w:rsidR="000A6916">
        <w:rPr>
          <w:lang w:val="pl-PL"/>
        </w:rPr>
        <w:t> </w:t>
      </w:r>
      <w:r w:rsidR="000A6916" w:rsidRPr="000A6916">
        <w:rPr>
          <w:lang w:val="pl-PL"/>
        </w:rPr>
        <w:t>wys</w:t>
      </w:r>
      <w:r w:rsidRPr="000A6916">
        <w:rPr>
          <w:lang w:val="pl-PL"/>
        </w:rPr>
        <w:t>zczególnionych</w:t>
      </w:r>
      <w:r w:rsidR="000A6916" w:rsidRPr="000A6916">
        <w:rPr>
          <w:lang w:val="pl-PL"/>
        </w:rPr>
        <w:t xml:space="preserve"> w</w:t>
      </w:r>
      <w:r w:rsidR="000A6916">
        <w:rPr>
          <w:lang w:val="pl-PL"/>
        </w:rPr>
        <w:t> </w:t>
      </w:r>
      <w:r w:rsidR="000A6916" w:rsidRPr="000A6916">
        <w:rPr>
          <w:lang w:val="pl-PL"/>
        </w:rPr>
        <w:t>prz</w:t>
      </w:r>
      <w:r w:rsidRPr="000A6916">
        <w:rPr>
          <w:lang w:val="pl-PL"/>
        </w:rPr>
        <w:t xml:space="preserve">episach wykonawczych. </w:t>
      </w:r>
      <w:bookmarkEnd w:id="4"/>
      <w:r w:rsidRPr="000A6916">
        <w:rPr>
          <w:lang w:val="pl-PL"/>
        </w:rPr>
        <w:t>Zob. art.</w:t>
      </w:r>
      <w:r w:rsidR="000A6916" w:rsidRPr="000A6916">
        <w:rPr>
          <w:lang w:val="pl-PL"/>
        </w:rPr>
        <w:t> </w:t>
      </w:r>
      <w:r w:rsidRPr="000A6916">
        <w:rPr>
          <w:lang w:val="pl-PL"/>
        </w:rPr>
        <w:t>16 ust.</w:t>
      </w:r>
      <w:r w:rsidR="000A6916" w:rsidRPr="000A6916">
        <w:rPr>
          <w:lang w:val="pl-PL"/>
        </w:rPr>
        <w:t> </w:t>
      </w:r>
      <w:r w:rsidRPr="000A6916">
        <w:rPr>
          <w:lang w:val="pl-PL"/>
        </w:rPr>
        <w:t>5</w:t>
      </w:r>
      <w:r w:rsidR="000A6916" w:rsidRPr="000A6916">
        <w:rPr>
          <w:lang w:val="pl-PL"/>
        </w:rPr>
        <w:t xml:space="preserve"> i</w:t>
      </w:r>
      <w:r w:rsidR="000A6916">
        <w:rPr>
          <w:lang w:val="pl-PL"/>
        </w:rPr>
        <w:t> </w:t>
      </w:r>
      <w:r w:rsidR="000A6916" w:rsidRPr="000A6916">
        <w:rPr>
          <w:lang w:val="pl-PL"/>
        </w:rPr>
        <w:t>art</w:t>
      </w:r>
      <w:r w:rsidRPr="000A6916">
        <w:rPr>
          <w:lang w:val="pl-PL"/>
        </w:rPr>
        <w:t>.</w:t>
      </w:r>
      <w:r w:rsidR="000A6916" w:rsidRPr="000A6916">
        <w:rPr>
          <w:lang w:val="pl-PL"/>
        </w:rPr>
        <w:t> </w:t>
      </w:r>
      <w:r w:rsidRPr="000A6916">
        <w:rPr>
          <w:lang w:val="pl-PL"/>
        </w:rPr>
        <w:t>41 zmienionej ustawy</w:t>
      </w:r>
      <w:r w:rsidR="000A6916" w:rsidRPr="000A6916">
        <w:rPr>
          <w:lang w:val="pl-PL"/>
        </w:rPr>
        <w:t xml:space="preserve"> o</w:t>
      </w:r>
      <w:r w:rsidR="000A6916">
        <w:rPr>
          <w:lang w:val="pl-PL"/>
        </w:rPr>
        <w:t> </w:t>
      </w:r>
      <w:r w:rsidR="000A6916" w:rsidRPr="000A6916">
        <w:rPr>
          <w:lang w:val="pl-PL"/>
        </w:rPr>
        <w:t>och</w:t>
      </w:r>
      <w:r w:rsidRPr="000A6916">
        <w:rPr>
          <w:lang w:val="pl-PL"/>
        </w:rPr>
        <w:t>ronie informacji osobowych.</w:t>
      </w:r>
    </w:p>
  </w:footnote>
  <w:footnote w:id="23">
    <w:p w14:paraId="0B92130F" w14:textId="0560E1AB" w:rsidR="001B6AB0" w:rsidRPr="000A6916" w:rsidRDefault="001B6AB0" w:rsidP="001B6AB0">
      <w:pPr>
        <w:pStyle w:val="FootnoteText"/>
        <w:ind w:left="284" w:hanging="284"/>
        <w:jc w:val="both"/>
        <w:rPr>
          <w:rFonts w:ascii="Times New Roman" w:hAnsi="Times New Roman" w:cs="Times New Roman"/>
          <w:lang w:val="pl-PL"/>
        </w:rPr>
      </w:pPr>
      <w:r w:rsidRPr="000A6916">
        <w:rPr>
          <w:rStyle w:val="FootnoteReference"/>
          <w:rFonts w:ascii="Times New Roman" w:hAnsi="Times New Roman" w:cs="Times New Roman"/>
          <w:lang w:val="pl-PL"/>
        </w:rPr>
        <w:footnoteRef/>
      </w:r>
      <w:r w:rsidRPr="000A6916">
        <w:rPr>
          <w:rFonts w:ascii="Times New Roman" w:hAnsi="Times New Roman"/>
          <w:lang w:val="pl-PL"/>
        </w:rPr>
        <w:t xml:space="preserve"> </w:t>
      </w:r>
      <w:r w:rsidRPr="000A6916">
        <w:rPr>
          <w:lang w:val="pl-PL"/>
        </w:rPr>
        <w:tab/>
      </w:r>
      <w:r w:rsidRPr="000A6916">
        <w:rPr>
          <w:rFonts w:ascii="Times New Roman" w:hAnsi="Times New Roman"/>
          <w:lang w:val="pl-PL"/>
        </w:rPr>
        <w:t>Zmienione przepisy uzupełniające zostały przyjęte przez Komisję ds. Ochrony Informacji Osobowych 15 marca 2023</w:t>
      </w:r>
      <w:r w:rsidR="000A6916" w:rsidRPr="000A6916">
        <w:rPr>
          <w:rFonts w:ascii="Times New Roman" w:hAnsi="Times New Roman"/>
          <w:lang w:val="pl-PL"/>
        </w:rPr>
        <w:t> </w:t>
      </w:r>
      <w:r w:rsidRPr="000A6916">
        <w:rPr>
          <w:rFonts w:ascii="Times New Roman" w:hAnsi="Times New Roman"/>
          <w:lang w:val="pl-PL"/>
        </w:rPr>
        <w:t>r.</w:t>
      </w:r>
      <w:r w:rsidR="000A6916" w:rsidRPr="000A6916">
        <w:rPr>
          <w:rFonts w:ascii="Times New Roman" w:hAnsi="Times New Roman"/>
          <w:lang w:val="pl-PL"/>
        </w:rPr>
        <w:t xml:space="preserve"> i</w:t>
      </w:r>
      <w:r w:rsidR="000A6916">
        <w:rPr>
          <w:rFonts w:ascii="Times New Roman" w:hAnsi="Times New Roman"/>
          <w:lang w:val="pl-PL"/>
        </w:rPr>
        <w:t> </w:t>
      </w:r>
      <w:r w:rsidR="000A6916" w:rsidRPr="000A6916">
        <w:rPr>
          <w:rFonts w:ascii="Times New Roman" w:hAnsi="Times New Roman"/>
          <w:lang w:val="pl-PL"/>
        </w:rPr>
        <w:t>wes</w:t>
      </w:r>
      <w:r w:rsidRPr="000A6916">
        <w:rPr>
          <w:rFonts w:ascii="Times New Roman" w:hAnsi="Times New Roman"/>
          <w:lang w:val="pl-PL"/>
        </w:rPr>
        <w:t>zły</w:t>
      </w:r>
      <w:r w:rsidR="000A6916" w:rsidRPr="000A6916">
        <w:rPr>
          <w:rFonts w:ascii="Times New Roman" w:hAnsi="Times New Roman"/>
          <w:lang w:val="pl-PL"/>
        </w:rPr>
        <w:t xml:space="preserve"> w</w:t>
      </w:r>
      <w:r w:rsidR="000A6916">
        <w:rPr>
          <w:rFonts w:ascii="Times New Roman" w:hAnsi="Times New Roman"/>
          <w:lang w:val="pl-PL"/>
        </w:rPr>
        <w:t> </w:t>
      </w:r>
      <w:r w:rsidR="000A6916" w:rsidRPr="000A6916">
        <w:rPr>
          <w:rFonts w:ascii="Times New Roman" w:hAnsi="Times New Roman"/>
          <w:lang w:val="pl-PL"/>
        </w:rPr>
        <w:t>życ</w:t>
      </w:r>
      <w:r w:rsidRPr="000A6916">
        <w:rPr>
          <w:rFonts w:ascii="Times New Roman" w:hAnsi="Times New Roman"/>
          <w:lang w:val="pl-PL"/>
        </w:rPr>
        <w:t>ie 1 kwietnia 2023</w:t>
      </w:r>
      <w:r w:rsidR="000A6916" w:rsidRPr="000A6916">
        <w:rPr>
          <w:rFonts w:ascii="Times New Roman" w:hAnsi="Times New Roman"/>
          <w:lang w:val="pl-PL"/>
        </w:rPr>
        <w:t> </w:t>
      </w:r>
      <w:r w:rsidRPr="000A6916">
        <w:rPr>
          <w:rFonts w:ascii="Times New Roman" w:hAnsi="Times New Roman"/>
          <w:lang w:val="pl-PL"/>
        </w:rPr>
        <w:t>r.</w:t>
      </w:r>
    </w:p>
  </w:footnote>
  <w:footnote w:id="24">
    <w:p w14:paraId="7DF05976" w14:textId="2F7CED29" w:rsidR="004A3516" w:rsidRPr="000A6916" w:rsidRDefault="004A3516"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Wyklucza to stosowanie art.</w:t>
      </w:r>
      <w:r w:rsidR="000A6916" w:rsidRPr="000A6916">
        <w:rPr>
          <w:lang w:val="pl-PL"/>
        </w:rPr>
        <w:t> </w:t>
      </w:r>
      <w:r w:rsidRPr="000A6916">
        <w:rPr>
          <w:lang w:val="pl-PL"/>
        </w:rPr>
        <w:t>42 zmienionej ustawy</w:t>
      </w:r>
      <w:r w:rsidR="000A6916" w:rsidRPr="000A6916">
        <w:rPr>
          <w:lang w:val="pl-PL"/>
        </w:rPr>
        <w:t xml:space="preserve"> o</w:t>
      </w:r>
      <w:r w:rsidR="000A6916">
        <w:rPr>
          <w:lang w:val="pl-PL"/>
        </w:rPr>
        <w:t> </w:t>
      </w:r>
      <w:r w:rsidR="000A6916" w:rsidRPr="000A6916">
        <w:rPr>
          <w:lang w:val="pl-PL"/>
        </w:rPr>
        <w:t>och</w:t>
      </w:r>
      <w:r w:rsidRPr="000A6916">
        <w:rPr>
          <w:lang w:val="pl-PL"/>
        </w:rPr>
        <w:t>ronie informacji osobowych,</w:t>
      </w:r>
      <w:r w:rsidR="000A6916" w:rsidRPr="000A6916">
        <w:rPr>
          <w:lang w:val="pl-PL"/>
        </w:rPr>
        <w:t xml:space="preserve"> w</w:t>
      </w:r>
      <w:r w:rsidR="000A6916">
        <w:rPr>
          <w:lang w:val="pl-PL"/>
        </w:rPr>
        <w:t> </w:t>
      </w:r>
      <w:r w:rsidR="000A6916" w:rsidRPr="000A6916">
        <w:rPr>
          <w:lang w:val="pl-PL"/>
        </w:rPr>
        <w:t>któ</w:t>
      </w:r>
      <w:r w:rsidRPr="000A6916">
        <w:rPr>
          <w:lang w:val="pl-PL"/>
        </w:rPr>
        <w:t>rym zachowuje się wyłącznie ograniczoną liczbę zabezpieczeń</w:t>
      </w:r>
      <w:r w:rsidR="000A6916" w:rsidRPr="000A6916">
        <w:rPr>
          <w:lang w:val="pl-PL"/>
        </w:rPr>
        <w:t xml:space="preserve"> w</w:t>
      </w:r>
      <w:r w:rsidR="000A6916">
        <w:rPr>
          <w:lang w:val="pl-PL"/>
        </w:rPr>
        <w:t> </w:t>
      </w:r>
      <w:r w:rsidR="000A6916" w:rsidRPr="000A6916">
        <w:rPr>
          <w:lang w:val="pl-PL"/>
        </w:rPr>
        <w:t>odn</w:t>
      </w:r>
      <w:r w:rsidRPr="000A6916">
        <w:rPr>
          <w:lang w:val="pl-PL"/>
        </w:rPr>
        <w:t xml:space="preserve">iesieniu do pseudonimicznych informacji osobowych, których nie uznaje się za informacje osobowe. </w:t>
      </w:r>
    </w:p>
  </w:footnote>
  <w:footnote w:id="25">
    <w:p w14:paraId="7CD60FF8" w14:textId="77777777" w:rsidR="003B1364" w:rsidRPr="000A6916" w:rsidRDefault="003B1364" w:rsidP="003B1364">
      <w:pPr>
        <w:pStyle w:val="FootnoteText"/>
        <w:ind w:left="284" w:hanging="284"/>
        <w:rPr>
          <w:lang w:val="pl-PL"/>
        </w:rPr>
      </w:pPr>
      <w:r w:rsidRPr="000A6916">
        <w:rPr>
          <w:rStyle w:val="FootnoteReference"/>
          <w:lang w:val="pl-PL"/>
        </w:rPr>
        <w:footnoteRef/>
      </w:r>
      <w:r w:rsidRPr="000A6916">
        <w:rPr>
          <w:lang w:val="pl-PL"/>
        </w:rPr>
        <w:t xml:space="preserve"> </w:t>
      </w:r>
      <w:r w:rsidRPr="000A6916">
        <w:rPr>
          <w:rFonts w:ascii="Times New Roman" w:hAnsi="Times New Roman"/>
          <w:lang w:val="pl-PL"/>
        </w:rPr>
        <w:t>Zob. motyw 79 decyzji.</w:t>
      </w:r>
    </w:p>
  </w:footnote>
  <w:footnote w:id="26">
    <w:p w14:paraId="30D81773" w14:textId="77777777" w:rsidR="004A3516" w:rsidRPr="000A6916" w:rsidRDefault="004A3516"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Zob. motyw 181 decyzji.</w:t>
      </w:r>
    </w:p>
  </w:footnote>
  <w:footnote w:id="27">
    <w:p w14:paraId="6D085B2F" w14:textId="3E7147EE" w:rsidR="004A3516" w:rsidRPr="000A6916" w:rsidRDefault="004A3516"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Zob. deklaracja ministerialna, spotkanie ministrów ds. cyfryzacji</w:t>
      </w:r>
      <w:r w:rsidR="000A6916" w:rsidRPr="000A6916">
        <w:rPr>
          <w:lang w:val="pl-PL"/>
        </w:rPr>
        <w:t xml:space="preserve"> z</w:t>
      </w:r>
      <w:r w:rsidR="000A6916">
        <w:rPr>
          <w:lang w:val="pl-PL"/>
        </w:rPr>
        <w:t> </w:t>
      </w:r>
      <w:r w:rsidR="000A6916" w:rsidRPr="000A6916">
        <w:rPr>
          <w:lang w:val="pl-PL"/>
        </w:rPr>
        <w:t>gru</w:t>
      </w:r>
      <w:r w:rsidRPr="000A6916">
        <w:rPr>
          <w:lang w:val="pl-PL"/>
        </w:rPr>
        <w:t>py G7, 11 maja 2022</w:t>
      </w:r>
      <w:r w:rsidR="000A6916" w:rsidRPr="000A6916">
        <w:rPr>
          <w:lang w:val="pl-PL"/>
        </w:rPr>
        <w:t> </w:t>
      </w:r>
      <w:r w:rsidRPr="000A6916">
        <w:rPr>
          <w:lang w:val="pl-PL"/>
        </w:rPr>
        <w:t>r., załącznik 1 (Plan działania grupy G-7 na rzecz promowania swobodnego przepływu danych opartego na zaufaniu),</w:t>
      </w:r>
      <w:r w:rsidR="000A6916" w:rsidRPr="000A6916">
        <w:rPr>
          <w:lang w:val="pl-PL"/>
        </w:rPr>
        <w:t xml:space="preserve"> w</w:t>
      </w:r>
      <w:r w:rsidR="000A6916">
        <w:rPr>
          <w:lang w:val="pl-PL"/>
        </w:rPr>
        <w:t> </w:t>
      </w:r>
      <w:r w:rsidR="000A6916" w:rsidRPr="000A6916">
        <w:rPr>
          <w:lang w:val="pl-PL"/>
        </w:rPr>
        <w:t>któ</w:t>
      </w:r>
      <w:r w:rsidRPr="000A6916">
        <w:rPr>
          <w:lang w:val="pl-PL"/>
        </w:rPr>
        <w:t>rym</w:t>
      </w:r>
      <w:r w:rsidR="000A6916" w:rsidRPr="000A6916">
        <w:rPr>
          <w:lang w:val="pl-PL"/>
        </w:rPr>
        <w:t xml:space="preserve"> w</w:t>
      </w:r>
      <w:r w:rsidR="000A6916">
        <w:rPr>
          <w:lang w:val="pl-PL"/>
        </w:rPr>
        <w:t> </w:t>
      </w:r>
      <w:r w:rsidR="000A6916" w:rsidRPr="000A6916">
        <w:rPr>
          <w:lang w:val="pl-PL"/>
        </w:rPr>
        <w:t>czę</w:t>
      </w:r>
      <w:r w:rsidRPr="000A6916">
        <w:rPr>
          <w:lang w:val="pl-PL"/>
        </w:rPr>
        <w:t>ści zatytułowanej „Wykorzystanie podobieństw do promowania przyszłej interoperacyjności” jest mowa o „coraz powszechniejszych praktykach takich jak standardowe klauzule umowne”.</w:t>
      </w:r>
    </w:p>
  </w:footnote>
  <w:footnote w:id="28">
    <w:p w14:paraId="749F140E" w14:textId="24C4DFE6" w:rsidR="004A3516" w:rsidRPr="000A6916" w:rsidRDefault="004A3516" w:rsidP="001B0AE9">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Zob. publikacja OECD Going Digital Toolkit „Interoperability of privacy and data protection frameworks” [„Interoperacyjność ram ochrony prywatności</w:t>
      </w:r>
      <w:r w:rsidR="000A6916" w:rsidRPr="000A6916">
        <w:rPr>
          <w:lang w:val="pl-PL"/>
        </w:rPr>
        <w:t xml:space="preserve"> i</w:t>
      </w:r>
      <w:r w:rsidR="000A6916">
        <w:rPr>
          <w:lang w:val="pl-PL"/>
        </w:rPr>
        <w:t> </w:t>
      </w:r>
      <w:r w:rsidR="000A6916" w:rsidRPr="000A6916">
        <w:rPr>
          <w:lang w:val="pl-PL"/>
        </w:rPr>
        <w:t>dan</w:t>
      </w:r>
      <w:r w:rsidRPr="000A6916">
        <w:rPr>
          <w:lang w:val="pl-PL"/>
        </w:rPr>
        <w:t xml:space="preserve">ych”] (dostępna na stronie internetowej: </w:t>
      </w:r>
      <w:hyperlink r:id="rId5" w:history="1">
        <w:r w:rsidRPr="000A6916">
          <w:rPr>
            <w:rStyle w:val="Hyperlink"/>
            <w:lang w:val="pl-PL"/>
          </w:rPr>
          <w:t>https://goingdigital.oecd.org/data/notes/No21_ToolkitNote_PrivacyDataInteroperability.pdf</w:t>
        </w:r>
      </w:hyperlink>
      <w:r w:rsidRPr="000A6916">
        <w:rPr>
          <w:lang w:val="pl-PL"/>
        </w:rPr>
        <w:t>), p. 18.</w:t>
      </w:r>
    </w:p>
  </w:footnote>
  <w:footnote w:id="29">
    <w:p w14:paraId="71C809B3" w14:textId="416B20BD" w:rsidR="009255B0" w:rsidRPr="000A6916" w:rsidRDefault="009255B0" w:rsidP="009255B0">
      <w:pPr>
        <w:pStyle w:val="Footnote"/>
        <w:jc w:val="both"/>
        <w:rPr>
          <w:lang w:val="pl-PL"/>
        </w:rPr>
      </w:pPr>
      <w:r w:rsidRPr="000A6916">
        <w:rPr>
          <w:rStyle w:val="FootnoteReference"/>
          <w:lang w:val="pl-PL"/>
        </w:rPr>
        <w:footnoteRef/>
      </w:r>
      <w:r w:rsidRPr="000A6916">
        <w:rPr>
          <w:lang w:val="pl-PL"/>
        </w:rPr>
        <w:t xml:space="preserve"> </w:t>
      </w:r>
      <w:r w:rsidRPr="000A6916">
        <w:rPr>
          <w:lang w:val="pl-PL"/>
        </w:rPr>
        <w:tab/>
        <w:t>Zob. motyw 177 decyzji stanowiący, iż oczekuje się, że władze japońskie będą informować Komisję</w:t>
      </w:r>
      <w:r w:rsidR="000A6916" w:rsidRPr="000A6916">
        <w:rPr>
          <w:lang w:val="pl-PL"/>
        </w:rPr>
        <w:t xml:space="preserve"> o</w:t>
      </w:r>
      <w:r w:rsidR="000A6916">
        <w:rPr>
          <w:lang w:val="pl-PL"/>
        </w:rPr>
        <w:t> </w:t>
      </w:r>
      <w:r w:rsidR="000A6916" w:rsidRPr="000A6916">
        <w:rPr>
          <w:lang w:val="pl-PL"/>
        </w:rPr>
        <w:t>zmi</w:t>
      </w:r>
      <w:r w:rsidRPr="000A6916">
        <w:rPr>
          <w:lang w:val="pl-PL"/>
        </w:rPr>
        <w:t>anach</w:t>
      </w:r>
      <w:r w:rsidR="000A6916" w:rsidRPr="000A6916">
        <w:rPr>
          <w:lang w:val="pl-PL"/>
        </w:rPr>
        <w:t xml:space="preserve"> w</w:t>
      </w:r>
      <w:r w:rsidR="000A6916">
        <w:rPr>
          <w:lang w:val="pl-PL"/>
        </w:rPr>
        <w:t> </w:t>
      </w:r>
      <w:r w:rsidR="000A6916" w:rsidRPr="000A6916">
        <w:rPr>
          <w:lang w:val="pl-PL"/>
        </w:rPr>
        <w:t>pra</w:t>
      </w:r>
      <w:r w:rsidRPr="000A6916">
        <w:rPr>
          <w:lang w:val="pl-PL"/>
        </w:rPr>
        <w:t>wie materialnym, które są istotne dla niniejszej decyzji, zarówno</w:t>
      </w:r>
      <w:r w:rsidR="000A6916" w:rsidRPr="000A6916">
        <w:rPr>
          <w:lang w:val="pl-PL"/>
        </w:rPr>
        <w:t xml:space="preserve"> w</w:t>
      </w:r>
      <w:r w:rsidR="000A6916">
        <w:rPr>
          <w:lang w:val="pl-PL"/>
        </w:rPr>
        <w:t> </w:t>
      </w:r>
      <w:r w:rsidR="000A6916" w:rsidRPr="000A6916">
        <w:rPr>
          <w:lang w:val="pl-PL"/>
        </w:rPr>
        <w:t>zwi</w:t>
      </w:r>
      <w:r w:rsidRPr="000A6916">
        <w:rPr>
          <w:lang w:val="pl-PL"/>
        </w:rPr>
        <w:t>ązku</w:t>
      </w:r>
      <w:r w:rsidR="000A6916" w:rsidRPr="000A6916">
        <w:rPr>
          <w:lang w:val="pl-PL"/>
        </w:rPr>
        <w:t xml:space="preserve"> z</w:t>
      </w:r>
      <w:r w:rsidR="000A6916">
        <w:rPr>
          <w:lang w:val="pl-PL"/>
        </w:rPr>
        <w:t> </w:t>
      </w:r>
      <w:r w:rsidR="000A6916" w:rsidRPr="000A6916">
        <w:rPr>
          <w:lang w:val="pl-PL"/>
        </w:rPr>
        <w:t>prz</w:t>
      </w:r>
      <w:r w:rsidRPr="000A6916">
        <w:rPr>
          <w:lang w:val="pl-PL"/>
        </w:rPr>
        <w:t>etwarzaniem danych osobowych przez podmioty gospodarcze, jak</w:t>
      </w:r>
      <w:r w:rsidR="000A6916" w:rsidRPr="000A6916">
        <w:rPr>
          <w:lang w:val="pl-PL"/>
        </w:rPr>
        <w:t xml:space="preserve"> i</w:t>
      </w:r>
      <w:r w:rsidR="000A6916">
        <w:rPr>
          <w:lang w:val="pl-PL"/>
        </w:rPr>
        <w:t> </w:t>
      </w:r>
      <w:r w:rsidR="000A6916" w:rsidRPr="000A6916">
        <w:rPr>
          <w:lang w:val="pl-PL"/>
        </w:rPr>
        <w:t>z</w:t>
      </w:r>
      <w:r w:rsidR="000A6916">
        <w:rPr>
          <w:lang w:val="pl-PL"/>
        </w:rPr>
        <w:t> </w:t>
      </w:r>
      <w:r w:rsidR="000A6916" w:rsidRPr="000A6916">
        <w:rPr>
          <w:lang w:val="pl-PL"/>
        </w:rPr>
        <w:t>ogr</w:t>
      </w:r>
      <w:r w:rsidRPr="000A6916">
        <w:rPr>
          <w:lang w:val="pl-PL"/>
        </w:rPr>
        <w:t>aniczeniami</w:t>
      </w:r>
      <w:r w:rsidR="000A6916" w:rsidRPr="000A6916">
        <w:rPr>
          <w:lang w:val="pl-PL"/>
        </w:rPr>
        <w:t xml:space="preserve"> i</w:t>
      </w:r>
      <w:r w:rsidR="000A6916">
        <w:rPr>
          <w:lang w:val="pl-PL"/>
        </w:rPr>
        <w:t> </w:t>
      </w:r>
      <w:r w:rsidR="000A6916" w:rsidRPr="000A6916">
        <w:rPr>
          <w:lang w:val="pl-PL"/>
        </w:rPr>
        <w:t>zab</w:t>
      </w:r>
      <w:r w:rsidRPr="000A6916">
        <w:rPr>
          <w:lang w:val="pl-PL"/>
        </w:rPr>
        <w:t>ezpieczeniami dotyczącymi dostępu organów publicznych do danych osobowych.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85CE" w14:textId="77777777" w:rsidR="00661798" w:rsidRPr="00661798" w:rsidRDefault="00661798" w:rsidP="00661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F0D8" w14:textId="77777777" w:rsidR="00661798" w:rsidRPr="00661798" w:rsidRDefault="00661798" w:rsidP="0066179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B4F17" w14:textId="77777777" w:rsidR="00661798" w:rsidRPr="00661798" w:rsidRDefault="00661798" w:rsidP="0066179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980" w14:textId="77777777" w:rsidR="004A3516" w:rsidRDefault="004A3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5E4E" w14:textId="0F88B805" w:rsidR="004A3516" w:rsidRDefault="004A35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3FE8" w14:textId="77777777" w:rsidR="004A3516" w:rsidRDefault="004A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A7A"/>
    <w:multiLevelType w:val="hybridMultilevel"/>
    <w:tmpl w:val="7CB0CDFE"/>
    <w:lvl w:ilvl="0" w:tplc="D1008ED2">
      <w:start w:val="1"/>
      <w:numFmt w:val="decimal"/>
      <w:lvlText w:val="%1."/>
      <w:lvlJc w:val="left"/>
      <w:pPr>
        <w:ind w:left="360" w:hanging="360"/>
      </w:pPr>
      <w:rPr>
        <w:rFonts w:ascii="Times New Roman" w:hAnsi="Times New Roman" w:cs="Times New Roman"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CBD273A"/>
    <w:multiLevelType w:val="hybridMultilevel"/>
    <w:tmpl w:val="15108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B65B7"/>
    <w:multiLevelType w:val="hybridMultilevel"/>
    <w:tmpl w:val="C0C6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markup="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F4638127-A50E-4D97-9AF0-0828BE832916"/>
    <w:docVar w:name="LW_COVERPAGE_TYPE" w:val="1"/>
    <w:docVar w:name="LW_CROSSREFERENCE" w:val="{SWD(2023) 75 final}"/>
    <w:docVar w:name="LW_DocType" w:val="NORMAL"/>
    <w:docVar w:name="LW_EMISSION" w:val="3.4.2023"/>
    <w:docVar w:name="LW_EMISSION_ISODATE" w:val="2023-04-03"/>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3) 275"/>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dotyczące pierwszego przeglądu funkcjonowania decyzji stwierdzającej odpowiedni stopień ochrony w Japonii&lt;/FMT&gt;"/>
    <w:docVar w:name="LW_TYPE.DOC.CP" w:val="SPRAWOZDANIE KOMISJI DLA PARLAMENTU EUROPEJSKIEGO I RADY"/>
    <w:docVar w:name="LwApiVersions" w:val="LW4CoDe 1.23.2.0; LW 8.0, Build 20211117"/>
  </w:docVars>
  <w:rsids>
    <w:rsidRoot w:val="0079314A"/>
    <w:rsid w:val="000006C2"/>
    <w:rsid w:val="00005A3D"/>
    <w:rsid w:val="000108C6"/>
    <w:rsid w:val="00020820"/>
    <w:rsid w:val="00023B10"/>
    <w:rsid w:val="00025050"/>
    <w:rsid w:val="000307DE"/>
    <w:rsid w:val="00033E9D"/>
    <w:rsid w:val="0003406A"/>
    <w:rsid w:val="00040401"/>
    <w:rsid w:val="0006165E"/>
    <w:rsid w:val="000735D0"/>
    <w:rsid w:val="00085AB2"/>
    <w:rsid w:val="000A6916"/>
    <w:rsid w:val="000C0BF9"/>
    <w:rsid w:val="000C3348"/>
    <w:rsid w:val="000D03B5"/>
    <w:rsid w:val="000E1D25"/>
    <w:rsid w:val="000F1294"/>
    <w:rsid w:val="000F4629"/>
    <w:rsid w:val="00102810"/>
    <w:rsid w:val="00103FBE"/>
    <w:rsid w:val="0010502D"/>
    <w:rsid w:val="00110EFA"/>
    <w:rsid w:val="0012566F"/>
    <w:rsid w:val="00127279"/>
    <w:rsid w:val="001414A8"/>
    <w:rsid w:val="00166A05"/>
    <w:rsid w:val="0017185A"/>
    <w:rsid w:val="001725A7"/>
    <w:rsid w:val="00174FA6"/>
    <w:rsid w:val="00177604"/>
    <w:rsid w:val="001848D9"/>
    <w:rsid w:val="001A2F6C"/>
    <w:rsid w:val="001B0AE9"/>
    <w:rsid w:val="001B1DD4"/>
    <w:rsid w:val="001B2CBF"/>
    <w:rsid w:val="001B3334"/>
    <w:rsid w:val="001B6AB0"/>
    <w:rsid w:val="001C33BF"/>
    <w:rsid w:val="001C7D9C"/>
    <w:rsid w:val="001D2022"/>
    <w:rsid w:val="001E3BA7"/>
    <w:rsid w:val="001F1443"/>
    <w:rsid w:val="001F24CF"/>
    <w:rsid w:val="00205706"/>
    <w:rsid w:val="00216F01"/>
    <w:rsid w:val="00221472"/>
    <w:rsid w:val="00226074"/>
    <w:rsid w:val="00243815"/>
    <w:rsid w:val="00252A96"/>
    <w:rsid w:val="00260F13"/>
    <w:rsid w:val="00266556"/>
    <w:rsid w:val="00271E84"/>
    <w:rsid w:val="00275447"/>
    <w:rsid w:val="00291F37"/>
    <w:rsid w:val="0029571C"/>
    <w:rsid w:val="002969F1"/>
    <w:rsid w:val="002A0354"/>
    <w:rsid w:val="002A7F7E"/>
    <w:rsid w:val="002B3470"/>
    <w:rsid w:val="002C3893"/>
    <w:rsid w:val="002C38DD"/>
    <w:rsid w:val="002E1F00"/>
    <w:rsid w:val="002E6BCB"/>
    <w:rsid w:val="002F2CA5"/>
    <w:rsid w:val="00300F34"/>
    <w:rsid w:val="003059D4"/>
    <w:rsid w:val="00306DC2"/>
    <w:rsid w:val="00311561"/>
    <w:rsid w:val="00311FCB"/>
    <w:rsid w:val="00314611"/>
    <w:rsid w:val="00333894"/>
    <w:rsid w:val="00334649"/>
    <w:rsid w:val="00346892"/>
    <w:rsid w:val="003518CA"/>
    <w:rsid w:val="003568ED"/>
    <w:rsid w:val="00360026"/>
    <w:rsid w:val="00364221"/>
    <w:rsid w:val="003661D1"/>
    <w:rsid w:val="0036717C"/>
    <w:rsid w:val="003679DC"/>
    <w:rsid w:val="003743B7"/>
    <w:rsid w:val="00381BD7"/>
    <w:rsid w:val="00382291"/>
    <w:rsid w:val="00386464"/>
    <w:rsid w:val="00386662"/>
    <w:rsid w:val="003A7519"/>
    <w:rsid w:val="003B1364"/>
    <w:rsid w:val="003D7D56"/>
    <w:rsid w:val="003E096E"/>
    <w:rsid w:val="003E2E33"/>
    <w:rsid w:val="003E5905"/>
    <w:rsid w:val="004019AC"/>
    <w:rsid w:val="004151B1"/>
    <w:rsid w:val="00420C35"/>
    <w:rsid w:val="0042258A"/>
    <w:rsid w:val="00423F67"/>
    <w:rsid w:val="0042678C"/>
    <w:rsid w:val="00432AA4"/>
    <w:rsid w:val="00433B9D"/>
    <w:rsid w:val="00443923"/>
    <w:rsid w:val="00451488"/>
    <w:rsid w:val="004842F0"/>
    <w:rsid w:val="00496A86"/>
    <w:rsid w:val="004A24A9"/>
    <w:rsid w:val="004A3516"/>
    <w:rsid w:val="004B1ADE"/>
    <w:rsid w:val="004B66B9"/>
    <w:rsid w:val="004C35AA"/>
    <w:rsid w:val="004C650B"/>
    <w:rsid w:val="004C79B8"/>
    <w:rsid w:val="004E08FC"/>
    <w:rsid w:val="004E3051"/>
    <w:rsid w:val="004F5857"/>
    <w:rsid w:val="005278F7"/>
    <w:rsid w:val="005369F1"/>
    <w:rsid w:val="00536A95"/>
    <w:rsid w:val="0054776F"/>
    <w:rsid w:val="00570746"/>
    <w:rsid w:val="00574A41"/>
    <w:rsid w:val="005842E6"/>
    <w:rsid w:val="0058453F"/>
    <w:rsid w:val="0058755C"/>
    <w:rsid w:val="005902FD"/>
    <w:rsid w:val="005A0BE6"/>
    <w:rsid w:val="005A30F5"/>
    <w:rsid w:val="005A3982"/>
    <w:rsid w:val="005C2BF3"/>
    <w:rsid w:val="005C42E0"/>
    <w:rsid w:val="005D0E06"/>
    <w:rsid w:val="005D48EC"/>
    <w:rsid w:val="005E0B3B"/>
    <w:rsid w:val="005E20B3"/>
    <w:rsid w:val="005E686C"/>
    <w:rsid w:val="006020A8"/>
    <w:rsid w:val="00603694"/>
    <w:rsid w:val="0060618E"/>
    <w:rsid w:val="00607EB3"/>
    <w:rsid w:val="00610048"/>
    <w:rsid w:val="0061111D"/>
    <w:rsid w:val="0061605E"/>
    <w:rsid w:val="00616B80"/>
    <w:rsid w:val="0062102E"/>
    <w:rsid w:val="00624976"/>
    <w:rsid w:val="00632F5F"/>
    <w:rsid w:val="00635952"/>
    <w:rsid w:val="00641BC0"/>
    <w:rsid w:val="00646EBC"/>
    <w:rsid w:val="00654404"/>
    <w:rsid w:val="00661798"/>
    <w:rsid w:val="0067077C"/>
    <w:rsid w:val="006745E9"/>
    <w:rsid w:val="00676BDC"/>
    <w:rsid w:val="00692279"/>
    <w:rsid w:val="0069285B"/>
    <w:rsid w:val="006A2FDB"/>
    <w:rsid w:val="006B104B"/>
    <w:rsid w:val="006B3034"/>
    <w:rsid w:val="006B4436"/>
    <w:rsid w:val="006B5944"/>
    <w:rsid w:val="006B7003"/>
    <w:rsid w:val="006C6D1D"/>
    <w:rsid w:val="006D1006"/>
    <w:rsid w:val="006D22B5"/>
    <w:rsid w:val="006D7457"/>
    <w:rsid w:val="006D7BAA"/>
    <w:rsid w:val="006E62D2"/>
    <w:rsid w:val="006F0A2F"/>
    <w:rsid w:val="006F0D3A"/>
    <w:rsid w:val="006F440D"/>
    <w:rsid w:val="006F5BDD"/>
    <w:rsid w:val="00704428"/>
    <w:rsid w:val="00725F2F"/>
    <w:rsid w:val="00731193"/>
    <w:rsid w:val="007340FB"/>
    <w:rsid w:val="0074302D"/>
    <w:rsid w:val="00744641"/>
    <w:rsid w:val="00751E18"/>
    <w:rsid w:val="007608A7"/>
    <w:rsid w:val="00766375"/>
    <w:rsid w:val="00777179"/>
    <w:rsid w:val="0079314A"/>
    <w:rsid w:val="0079427A"/>
    <w:rsid w:val="007A62AA"/>
    <w:rsid w:val="007B6DC1"/>
    <w:rsid w:val="007C5019"/>
    <w:rsid w:val="007D1FFF"/>
    <w:rsid w:val="007D6879"/>
    <w:rsid w:val="007E411C"/>
    <w:rsid w:val="007E5662"/>
    <w:rsid w:val="007E5B51"/>
    <w:rsid w:val="007F07B8"/>
    <w:rsid w:val="007F5236"/>
    <w:rsid w:val="00804DFB"/>
    <w:rsid w:val="008055E1"/>
    <w:rsid w:val="0081641B"/>
    <w:rsid w:val="0081698E"/>
    <w:rsid w:val="00827A47"/>
    <w:rsid w:val="00831D57"/>
    <w:rsid w:val="00841321"/>
    <w:rsid w:val="00843777"/>
    <w:rsid w:val="00843910"/>
    <w:rsid w:val="00843A21"/>
    <w:rsid w:val="00845341"/>
    <w:rsid w:val="00850C1B"/>
    <w:rsid w:val="00855007"/>
    <w:rsid w:val="00862175"/>
    <w:rsid w:val="008662FB"/>
    <w:rsid w:val="0088699C"/>
    <w:rsid w:val="00893655"/>
    <w:rsid w:val="0089503C"/>
    <w:rsid w:val="008A25B3"/>
    <w:rsid w:val="008A266C"/>
    <w:rsid w:val="008B1061"/>
    <w:rsid w:val="008B11C0"/>
    <w:rsid w:val="008B1ABA"/>
    <w:rsid w:val="008B63CA"/>
    <w:rsid w:val="008D366F"/>
    <w:rsid w:val="008E614E"/>
    <w:rsid w:val="008F7F4D"/>
    <w:rsid w:val="00901F8D"/>
    <w:rsid w:val="00906636"/>
    <w:rsid w:val="00914DA3"/>
    <w:rsid w:val="00916451"/>
    <w:rsid w:val="00916B69"/>
    <w:rsid w:val="009255B0"/>
    <w:rsid w:val="00932F2C"/>
    <w:rsid w:val="00936A70"/>
    <w:rsid w:val="00940A4F"/>
    <w:rsid w:val="00944ED8"/>
    <w:rsid w:val="00945706"/>
    <w:rsid w:val="009526CE"/>
    <w:rsid w:val="009605D7"/>
    <w:rsid w:val="009629C6"/>
    <w:rsid w:val="0096452F"/>
    <w:rsid w:val="00975B56"/>
    <w:rsid w:val="0099165B"/>
    <w:rsid w:val="009A1160"/>
    <w:rsid w:val="009A47FE"/>
    <w:rsid w:val="009C07E6"/>
    <w:rsid w:val="009C7951"/>
    <w:rsid w:val="009F222A"/>
    <w:rsid w:val="009F22C5"/>
    <w:rsid w:val="009F3158"/>
    <w:rsid w:val="009F505D"/>
    <w:rsid w:val="00A02251"/>
    <w:rsid w:val="00A038A8"/>
    <w:rsid w:val="00A053CD"/>
    <w:rsid w:val="00A1030D"/>
    <w:rsid w:val="00A17989"/>
    <w:rsid w:val="00A17C9F"/>
    <w:rsid w:val="00A3073D"/>
    <w:rsid w:val="00A32670"/>
    <w:rsid w:val="00A37BD4"/>
    <w:rsid w:val="00A414F7"/>
    <w:rsid w:val="00A44CF0"/>
    <w:rsid w:val="00A47A69"/>
    <w:rsid w:val="00A569A3"/>
    <w:rsid w:val="00A56CE7"/>
    <w:rsid w:val="00A642F8"/>
    <w:rsid w:val="00A6640C"/>
    <w:rsid w:val="00A66C72"/>
    <w:rsid w:val="00A67415"/>
    <w:rsid w:val="00A679F3"/>
    <w:rsid w:val="00A706D1"/>
    <w:rsid w:val="00A8234B"/>
    <w:rsid w:val="00A91ED0"/>
    <w:rsid w:val="00AA629F"/>
    <w:rsid w:val="00AA7B84"/>
    <w:rsid w:val="00AC0F42"/>
    <w:rsid w:val="00B121BD"/>
    <w:rsid w:val="00B32822"/>
    <w:rsid w:val="00B35C62"/>
    <w:rsid w:val="00B37707"/>
    <w:rsid w:val="00B42C16"/>
    <w:rsid w:val="00B53D91"/>
    <w:rsid w:val="00B54319"/>
    <w:rsid w:val="00B549E2"/>
    <w:rsid w:val="00B55FFD"/>
    <w:rsid w:val="00B65537"/>
    <w:rsid w:val="00B938DD"/>
    <w:rsid w:val="00B95035"/>
    <w:rsid w:val="00BA1561"/>
    <w:rsid w:val="00BA21A7"/>
    <w:rsid w:val="00BA255A"/>
    <w:rsid w:val="00BB039F"/>
    <w:rsid w:val="00BB7E2E"/>
    <w:rsid w:val="00BC1349"/>
    <w:rsid w:val="00BD7808"/>
    <w:rsid w:val="00BF205D"/>
    <w:rsid w:val="00BF32A7"/>
    <w:rsid w:val="00BF4F96"/>
    <w:rsid w:val="00C14A3E"/>
    <w:rsid w:val="00C229BE"/>
    <w:rsid w:val="00C25E35"/>
    <w:rsid w:val="00C61554"/>
    <w:rsid w:val="00C65378"/>
    <w:rsid w:val="00C76E7D"/>
    <w:rsid w:val="00C92381"/>
    <w:rsid w:val="00C957A6"/>
    <w:rsid w:val="00CA1F9D"/>
    <w:rsid w:val="00CA697D"/>
    <w:rsid w:val="00CB1045"/>
    <w:rsid w:val="00CC1B8E"/>
    <w:rsid w:val="00CC3A4D"/>
    <w:rsid w:val="00CC5449"/>
    <w:rsid w:val="00CD084E"/>
    <w:rsid w:val="00CD7DF0"/>
    <w:rsid w:val="00CE7235"/>
    <w:rsid w:val="00CF2B09"/>
    <w:rsid w:val="00D0390D"/>
    <w:rsid w:val="00D05426"/>
    <w:rsid w:val="00D110DD"/>
    <w:rsid w:val="00D11D86"/>
    <w:rsid w:val="00D1232B"/>
    <w:rsid w:val="00D15D69"/>
    <w:rsid w:val="00D1708B"/>
    <w:rsid w:val="00D326EF"/>
    <w:rsid w:val="00D32FDB"/>
    <w:rsid w:val="00D36BB0"/>
    <w:rsid w:val="00D66ADA"/>
    <w:rsid w:val="00D80A75"/>
    <w:rsid w:val="00D86DBF"/>
    <w:rsid w:val="00D9668C"/>
    <w:rsid w:val="00DA1307"/>
    <w:rsid w:val="00DA27F8"/>
    <w:rsid w:val="00DB2F11"/>
    <w:rsid w:val="00DD2518"/>
    <w:rsid w:val="00DD414E"/>
    <w:rsid w:val="00DF399B"/>
    <w:rsid w:val="00DF6A11"/>
    <w:rsid w:val="00DF70C2"/>
    <w:rsid w:val="00E11BDF"/>
    <w:rsid w:val="00E1267D"/>
    <w:rsid w:val="00E20292"/>
    <w:rsid w:val="00E26F55"/>
    <w:rsid w:val="00E27112"/>
    <w:rsid w:val="00E3052D"/>
    <w:rsid w:val="00E310A4"/>
    <w:rsid w:val="00E362D7"/>
    <w:rsid w:val="00E36377"/>
    <w:rsid w:val="00E3747A"/>
    <w:rsid w:val="00E41F6D"/>
    <w:rsid w:val="00E55B38"/>
    <w:rsid w:val="00E76155"/>
    <w:rsid w:val="00EA7A65"/>
    <w:rsid w:val="00EB1EC1"/>
    <w:rsid w:val="00EB77F5"/>
    <w:rsid w:val="00EC4BA3"/>
    <w:rsid w:val="00ED00F2"/>
    <w:rsid w:val="00ED0E6C"/>
    <w:rsid w:val="00ED5A0B"/>
    <w:rsid w:val="00ED5A88"/>
    <w:rsid w:val="00EE577C"/>
    <w:rsid w:val="00EE6CB1"/>
    <w:rsid w:val="00EF1A47"/>
    <w:rsid w:val="00F01C5D"/>
    <w:rsid w:val="00F14480"/>
    <w:rsid w:val="00F15B80"/>
    <w:rsid w:val="00F16109"/>
    <w:rsid w:val="00F24EF8"/>
    <w:rsid w:val="00F2689C"/>
    <w:rsid w:val="00F26F5D"/>
    <w:rsid w:val="00F34594"/>
    <w:rsid w:val="00F36CBF"/>
    <w:rsid w:val="00F44685"/>
    <w:rsid w:val="00F56D8C"/>
    <w:rsid w:val="00F847DB"/>
    <w:rsid w:val="00F9509F"/>
    <w:rsid w:val="00F95C5B"/>
    <w:rsid w:val="00F96BBA"/>
    <w:rsid w:val="00FA14DC"/>
    <w:rsid w:val="00FB44FB"/>
    <w:rsid w:val="00FC0004"/>
    <w:rsid w:val="00FC4AC0"/>
    <w:rsid w:val="00FD35CB"/>
    <w:rsid w:val="00FD7471"/>
    <w:rsid w:val="00FE21D6"/>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36E276"/>
  <w15:docId w15:val="{9193F7FA-2EDE-43A1-9BFC-9F0C730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7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72"/>
  </w:style>
  <w:style w:type="paragraph" w:styleId="Footer">
    <w:name w:val="footer"/>
    <w:basedOn w:val="Normal"/>
    <w:link w:val="FooterChar"/>
    <w:uiPriority w:val="99"/>
    <w:unhideWhenUsed/>
    <w:rsid w:val="00A6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72"/>
  </w:style>
  <w:style w:type="paragraph" w:styleId="ListParagraph">
    <w:name w:val="List Paragraph"/>
    <w:basedOn w:val="Normal"/>
    <w:uiPriority w:val="34"/>
    <w:qFormat/>
    <w:rsid w:val="00A66C72"/>
    <w:pPr>
      <w:ind w:left="720"/>
      <w:contextualSpacing/>
    </w:pPr>
  </w:style>
  <w:style w:type="paragraph" w:styleId="FootnoteText">
    <w:name w:val="footnote text"/>
    <w:basedOn w:val="Normal"/>
    <w:link w:val="FootnoteTextChar"/>
    <w:uiPriority w:val="99"/>
    <w:unhideWhenUsed/>
    <w:rsid w:val="00893655"/>
    <w:pPr>
      <w:spacing w:after="0" w:line="240" w:lineRule="auto"/>
    </w:pPr>
    <w:rPr>
      <w:sz w:val="20"/>
    </w:rPr>
  </w:style>
  <w:style w:type="character" w:customStyle="1" w:styleId="FootnoteTextChar">
    <w:name w:val="Footnote Text Char"/>
    <w:basedOn w:val="DefaultParagraphFont"/>
    <w:link w:val="FootnoteText"/>
    <w:uiPriority w:val="99"/>
    <w:rsid w:val="00893655"/>
    <w:rPr>
      <w:sz w:val="20"/>
    </w:rPr>
  </w:style>
  <w:style w:type="character" w:styleId="FootnoteReference">
    <w:name w:val="footnote reference"/>
    <w:basedOn w:val="DefaultParagraphFont"/>
    <w:uiPriority w:val="99"/>
    <w:semiHidden/>
    <w:unhideWhenUsed/>
    <w:rsid w:val="00893655"/>
    <w:rPr>
      <w:vertAlign w:val="superscript"/>
    </w:rPr>
  </w:style>
  <w:style w:type="character" w:styleId="Hyperlink">
    <w:name w:val="Hyperlink"/>
    <w:basedOn w:val="DefaultParagraphFont"/>
    <w:uiPriority w:val="99"/>
    <w:unhideWhenUsed/>
    <w:rsid w:val="000735D0"/>
    <w:rPr>
      <w:color w:val="0563C1" w:themeColor="hyperlink"/>
      <w:u w:val="single"/>
    </w:rPr>
  </w:style>
  <w:style w:type="character" w:customStyle="1" w:styleId="UnresolvedMention1">
    <w:name w:val="Unresolved Mention1"/>
    <w:basedOn w:val="DefaultParagraphFont"/>
    <w:uiPriority w:val="99"/>
    <w:semiHidden/>
    <w:unhideWhenUsed/>
    <w:rsid w:val="00BA21A7"/>
    <w:rPr>
      <w:color w:val="605E5C"/>
      <w:shd w:val="clear" w:color="auto" w:fill="E1DFDD"/>
    </w:rPr>
  </w:style>
  <w:style w:type="paragraph" w:styleId="BalloonText">
    <w:name w:val="Balloon Text"/>
    <w:basedOn w:val="Normal"/>
    <w:link w:val="BalloonTextChar"/>
    <w:uiPriority w:val="99"/>
    <w:semiHidden/>
    <w:unhideWhenUsed/>
    <w:rsid w:val="00314611"/>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14611"/>
    <w:rPr>
      <w:rFonts w:ascii="Segoe UI" w:hAnsi="Segoe UI" w:cs="Segoe UI"/>
      <w:sz w:val="18"/>
    </w:rPr>
  </w:style>
  <w:style w:type="character" w:styleId="CommentReference">
    <w:name w:val="annotation reference"/>
    <w:basedOn w:val="DefaultParagraphFont"/>
    <w:uiPriority w:val="99"/>
    <w:semiHidden/>
    <w:unhideWhenUsed/>
    <w:rsid w:val="003518CA"/>
    <w:rPr>
      <w:sz w:val="16"/>
    </w:rPr>
  </w:style>
  <w:style w:type="paragraph" w:styleId="CommentText">
    <w:name w:val="annotation text"/>
    <w:basedOn w:val="Normal"/>
    <w:link w:val="CommentTextChar"/>
    <w:uiPriority w:val="99"/>
    <w:unhideWhenUsed/>
    <w:rsid w:val="003518CA"/>
    <w:pPr>
      <w:spacing w:line="240" w:lineRule="auto"/>
    </w:pPr>
    <w:rPr>
      <w:sz w:val="20"/>
    </w:rPr>
  </w:style>
  <w:style w:type="character" w:customStyle="1" w:styleId="CommentTextChar">
    <w:name w:val="Comment Text Char"/>
    <w:basedOn w:val="DefaultParagraphFont"/>
    <w:link w:val="CommentText"/>
    <w:uiPriority w:val="99"/>
    <w:rsid w:val="003518CA"/>
    <w:rPr>
      <w:sz w:val="20"/>
    </w:rPr>
  </w:style>
  <w:style w:type="paragraph" w:styleId="CommentSubject">
    <w:name w:val="annotation subject"/>
    <w:basedOn w:val="CommentText"/>
    <w:next w:val="CommentText"/>
    <w:link w:val="CommentSubjectChar"/>
    <w:uiPriority w:val="99"/>
    <w:semiHidden/>
    <w:unhideWhenUsed/>
    <w:rsid w:val="003518CA"/>
    <w:rPr>
      <w:b/>
    </w:rPr>
  </w:style>
  <w:style w:type="character" w:customStyle="1" w:styleId="CommentSubjectChar">
    <w:name w:val="Comment Subject Char"/>
    <w:basedOn w:val="CommentTextChar"/>
    <w:link w:val="CommentSubject"/>
    <w:uiPriority w:val="99"/>
    <w:semiHidden/>
    <w:rsid w:val="003518CA"/>
    <w:rPr>
      <w:b/>
      <w:sz w:val="20"/>
    </w:rPr>
  </w:style>
  <w:style w:type="paragraph" w:customStyle="1" w:styleId="Footnote">
    <w:name w:val="Footnote"/>
    <w:basedOn w:val="FootnoteText"/>
    <w:rsid w:val="003518CA"/>
    <w:pPr>
      <w:ind w:left="284" w:hanging="284"/>
    </w:pPr>
    <w:rPr>
      <w:rFonts w:ascii="Times New Roman" w:hAnsi="Times New Roman" w:cs="Times New Roman"/>
    </w:rPr>
  </w:style>
  <w:style w:type="character" w:customStyle="1" w:styleId="Marker">
    <w:name w:val="Marker"/>
    <w:basedOn w:val="DefaultParagraphFont"/>
    <w:rsid w:val="003518CA"/>
    <w:rPr>
      <w:color w:val="0000FF"/>
      <w:shd w:val="clear" w:color="auto" w:fill="auto"/>
    </w:rPr>
  </w:style>
  <w:style w:type="paragraph" w:customStyle="1" w:styleId="Pagedecouverture">
    <w:name w:val="Page de couverture"/>
    <w:basedOn w:val="Normal"/>
    <w:next w:val="Normal"/>
    <w:rsid w:val="003518CA"/>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3518C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3518CA"/>
    <w:rPr>
      <w:rFonts w:ascii="Times New Roman" w:hAnsi="Times New Roman" w:cs="Times New Roman"/>
      <w:sz w:val="24"/>
    </w:rPr>
  </w:style>
  <w:style w:type="paragraph" w:customStyle="1" w:styleId="FooterSensitivity">
    <w:name w:val="Footer Sensitivity"/>
    <w:basedOn w:val="Normal"/>
    <w:link w:val="FooterSensitivityChar"/>
    <w:rsid w:val="00351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3518CA"/>
    <w:rPr>
      <w:rFonts w:ascii="Times New Roman" w:hAnsi="Times New Roman" w:cs="Times New Roman"/>
      <w:b/>
      <w:sz w:val="32"/>
    </w:rPr>
  </w:style>
  <w:style w:type="paragraph" w:customStyle="1" w:styleId="HeaderCoverPage">
    <w:name w:val="Header Cover Page"/>
    <w:basedOn w:val="Normal"/>
    <w:link w:val="HeaderCoverPageChar"/>
    <w:rsid w:val="003518C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3518CA"/>
    <w:rPr>
      <w:rFonts w:ascii="Times New Roman" w:hAnsi="Times New Roman" w:cs="Times New Roman"/>
      <w:sz w:val="24"/>
    </w:rPr>
  </w:style>
  <w:style w:type="paragraph" w:customStyle="1" w:styleId="HeaderSensitivity">
    <w:name w:val="Header Sensitivity"/>
    <w:basedOn w:val="Normal"/>
    <w:link w:val="HeaderSensitivityChar"/>
    <w:rsid w:val="00351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3518CA"/>
    <w:rPr>
      <w:rFonts w:ascii="Times New Roman" w:hAnsi="Times New Roman" w:cs="Times New Roman"/>
      <w:b/>
      <w:sz w:val="32"/>
    </w:rPr>
  </w:style>
  <w:style w:type="paragraph" w:customStyle="1" w:styleId="HeaderSensitivityRight">
    <w:name w:val="Header Sensitivity Right"/>
    <w:basedOn w:val="Normal"/>
    <w:link w:val="HeaderSensitivityRightChar"/>
    <w:rsid w:val="003518C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3518CA"/>
    <w:rPr>
      <w:rFonts w:ascii="Times New Roman" w:hAnsi="Times New Roman" w:cs="Times New Roman"/>
      <w:sz w:val="28"/>
    </w:rPr>
  </w:style>
  <w:style w:type="paragraph" w:styleId="Revision">
    <w:name w:val="Revision"/>
    <w:hidden/>
    <w:uiPriority w:val="99"/>
    <w:semiHidden/>
    <w:rsid w:val="001B0AE9"/>
    <w:pPr>
      <w:spacing w:after="0" w:line="240" w:lineRule="auto"/>
    </w:pPr>
  </w:style>
  <w:style w:type="character" w:customStyle="1" w:styleId="UnresolvedMention2">
    <w:name w:val="Unresolved Mention2"/>
    <w:basedOn w:val="DefaultParagraphFont"/>
    <w:uiPriority w:val="99"/>
    <w:semiHidden/>
    <w:unhideWhenUsed/>
    <w:rsid w:val="00D1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4245">
      <w:bodyDiv w:val="1"/>
      <w:marLeft w:val="0"/>
      <w:marRight w:val="0"/>
      <w:marTop w:val="0"/>
      <w:marBottom w:val="0"/>
      <w:divBdr>
        <w:top w:val="none" w:sz="0" w:space="0" w:color="auto"/>
        <w:left w:val="none" w:sz="0" w:space="0" w:color="auto"/>
        <w:bottom w:val="none" w:sz="0" w:space="0" w:color="auto"/>
        <w:right w:val="none" w:sz="0" w:space="0" w:color="auto"/>
      </w:divBdr>
    </w:div>
    <w:div w:id="1433671770">
      <w:bodyDiv w:val="1"/>
      <w:marLeft w:val="0"/>
      <w:marRight w:val="0"/>
      <w:marTop w:val="0"/>
      <w:marBottom w:val="0"/>
      <w:divBdr>
        <w:top w:val="none" w:sz="0" w:space="0" w:color="auto"/>
        <w:left w:val="none" w:sz="0" w:space="0" w:color="auto"/>
        <w:bottom w:val="none" w:sz="0" w:space="0" w:color="auto"/>
        <w:right w:val="none" w:sz="0" w:space="0" w:color="auto"/>
      </w:divBdr>
    </w:div>
    <w:div w:id="146233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pc.go.jp/files/pdf/APPI_english.pdf" TargetMode="External"/><Relationship Id="rId2" Type="http://schemas.openxmlformats.org/officeDocument/2006/relationships/hyperlink" Target="https://policy.trade.ec.europa.eu/news/eu-and-japan-start-negotiations-include-rules-cross-border-data-flows-their-economic-partnership-2022-10-07_en" TargetMode="External"/><Relationship Id="rId1" Type="http://schemas.openxmlformats.org/officeDocument/2006/relationships/hyperlink" Target="https://ec.europa.eu/commission/presscorner/detail/pl/IP_18_4501" TargetMode="External"/><Relationship Id="rId5" Type="http://schemas.openxmlformats.org/officeDocument/2006/relationships/hyperlink" Target="https://goingdigital.oecd.org/data/notes/No21_ToolkitNote_PrivacyDataInteroperability.pdf" TargetMode="External"/><Relationship Id="rId4" Type="http://schemas.openxmlformats.org/officeDocument/2006/relationships/hyperlink" Target="https://www.japaneselawtranslation.go.jp/ja/laws/view/4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6E952-6298-4400-A6AB-B3138090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2580</Words>
  <Characters>17651</Characters>
  <Application>Microsoft Office Word</Application>
  <DocSecurity>0</DocSecurity>
  <Lines>255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32</cp:revision>
  <dcterms:created xsi:type="dcterms:W3CDTF">2023-03-28T10:40:00Z</dcterms:created>
  <dcterms:modified xsi:type="dcterms:W3CDTF">2023-04-11T16:09:00Z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2022-07-28T15:06:31Z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5eb7a5fa-9ea4-460e-82f3-6d5e5c94f9f0</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CP-006</vt:lpwstr>
  </property>
  <property fmtid="{D5CDD505-2E9C-101B-9397-08002B2CF9AE}" pid="14" name="Last edited using">
    <vt:lpwstr>LW 9.0, Build 20230317</vt:lpwstr>
  </property>
  <property fmtid="{D5CDD505-2E9C-101B-9397-08002B2CF9AE}" pid="15" name="Created using">
    <vt:lpwstr>LW 9.0, Build 20230317</vt:lpwstr>
  </property>
</Properties>
</file>